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3890C07C"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0D76B1">
                    <w:rPr>
                      <w:rFonts w:ascii="Garamond" w:eastAsia="Times New Roman" w:hAnsi="Garamond"/>
                      <w:color w:val="0070C0"/>
                      <w:sz w:val="22"/>
                      <w:szCs w:val="22"/>
                    </w:rPr>
                    <w:t>Kovács Edina</w:t>
                  </w:r>
                </w:p>
              </w:tc>
              <w:tc>
                <w:tcPr>
                  <w:tcW w:w="2324" w:type="dxa"/>
                  <w:shd w:val="clear" w:color="auto" w:fill="auto"/>
                  <w:hideMark/>
                </w:tcPr>
                <w:p w14:paraId="4F962708" w14:textId="7DEC1C6E"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 xml:space="preserve">+36 </w:t>
                  </w:r>
                  <w:r w:rsidR="000D76B1" w:rsidRPr="000D76B1">
                    <w:rPr>
                      <w:color w:val="0070C0"/>
                      <w:sz w:val="22"/>
                      <w:szCs w:val="22"/>
                      <w:shd w:val="clear" w:color="auto" w:fill="FFFFFF"/>
                    </w:rPr>
                    <w:t>308718896</w:t>
                  </w:r>
                </w:p>
              </w:tc>
            </w:tr>
            <w:tr w:rsidR="00FB045E" w:rsidRPr="000C1510" w14:paraId="730DF07C" w14:textId="77777777" w:rsidTr="00923C2A">
              <w:tc>
                <w:tcPr>
                  <w:tcW w:w="7310" w:type="dxa"/>
                  <w:gridSpan w:val="3"/>
                  <w:shd w:val="clear" w:color="auto" w:fill="auto"/>
                  <w:hideMark/>
                </w:tcPr>
                <w:p w14:paraId="7611A82D" w14:textId="79D7726E"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0D76B1">
                    <w:rPr>
                      <w:rFonts w:eastAsia="DejaVuSerif"/>
                      <w:color w:val="0070C0"/>
                      <w:sz w:val="22"/>
                      <w:szCs w:val="22"/>
                    </w:rPr>
                    <w:t>kovacs.edina</w:t>
                  </w:r>
                  <w:r w:rsidR="00647CB1" w:rsidRPr="00647CB1">
                    <w:rPr>
                      <w:rFonts w:eastAsia="DejaVuSerif"/>
                      <w:color w:val="0070C0"/>
                      <w:sz w:val="22"/>
                      <w:szCs w:val="22"/>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7"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46B633AF"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50455DF7" w14:textId="4984DF15" w:rsidR="006D32B6" w:rsidRPr="000A0F6D" w:rsidRDefault="00CD11C6" w:rsidP="006D32B6">
            <w:pPr>
              <w:spacing w:after="4"/>
              <w:ind w:left="-17"/>
              <w:jc w:val="both"/>
              <w:rPr>
                <w:color w:val="0070C0"/>
              </w:rPr>
            </w:pPr>
            <w:r w:rsidRPr="000A0F6D">
              <w:rPr>
                <w:color w:val="0070C0"/>
              </w:rPr>
              <w:t xml:space="preserve">A </w:t>
            </w:r>
            <w:r w:rsidR="00CE2D4D" w:rsidRPr="000A0F6D">
              <w:rPr>
                <w:color w:val="0070C0"/>
              </w:rPr>
              <w:t>projekt keretében</w:t>
            </w:r>
            <w:r w:rsidR="00647CB1" w:rsidRPr="000A0F6D">
              <w:rPr>
                <w:color w:val="0070C0"/>
              </w:rPr>
              <w:t xml:space="preserve"> </w:t>
            </w:r>
            <w:r w:rsidR="00CE2D4D" w:rsidRPr="000A0F6D">
              <w:rPr>
                <w:color w:val="0070C0"/>
              </w:rPr>
              <w:t>felújításra kerül a Találkozások háza, melyben egy új közösségi kávézó</w:t>
            </w:r>
            <w:r w:rsidR="0098531D" w:rsidRPr="000A0F6D">
              <w:rPr>
                <w:color w:val="0070C0"/>
              </w:rPr>
              <w:t xml:space="preserve"> és a felette lévő helyiségben egy galéria</w:t>
            </w:r>
            <w:r w:rsidR="00CE2D4D" w:rsidRPr="000A0F6D">
              <w:rPr>
                <w:color w:val="0070C0"/>
              </w:rPr>
              <w:t xml:space="preserve"> is kialakításra kerül, </w:t>
            </w:r>
            <w:r w:rsidR="006D32B6" w:rsidRPr="000A0F6D">
              <w:rPr>
                <w:color w:val="0070C0"/>
              </w:rPr>
              <w:t xml:space="preserve">a központi park mellett megvalósul egy nyilvános </w:t>
            </w:r>
            <w:r w:rsidR="00920B6F" w:rsidRPr="000A0F6D">
              <w:rPr>
                <w:color w:val="0070C0"/>
              </w:rPr>
              <w:t>illemhely</w:t>
            </w:r>
            <w:r w:rsidR="00CE2D4D" w:rsidRPr="000A0F6D">
              <w:rPr>
                <w:color w:val="0070C0"/>
              </w:rPr>
              <w:t xml:space="preserve">, melyre nagy szükség van a városközpontban, továbbá </w:t>
            </w:r>
            <w:r w:rsidR="006D32B6" w:rsidRPr="000A0F6D">
              <w:rPr>
                <w:color w:val="0070C0"/>
              </w:rPr>
              <w:t xml:space="preserve">több zöldfelület, tér, park is </w:t>
            </w:r>
            <w:r w:rsidR="00CE2D4D" w:rsidRPr="000A0F6D">
              <w:rPr>
                <w:color w:val="0070C0"/>
              </w:rPr>
              <w:t xml:space="preserve">megújul </w:t>
            </w:r>
            <w:r w:rsidR="006D32B6" w:rsidRPr="000A0F6D">
              <w:rPr>
                <w:color w:val="0070C0"/>
              </w:rPr>
              <w:t>a beruházásból</w:t>
            </w:r>
            <w:r w:rsidR="00647CB1" w:rsidRPr="000A0F6D">
              <w:rPr>
                <w:color w:val="0070C0"/>
              </w:rPr>
              <w:t>.</w:t>
            </w:r>
          </w:p>
          <w:p w14:paraId="19EA975E" w14:textId="77777777" w:rsidR="00B3348F" w:rsidRPr="000A0F6D" w:rsidRDefault="00B3348F" w:rsidP="006D32B6">
            <w:pPr>
              <w:spacing w:after="4"/>
              <w:ind w:left="-17"/>
              <w:jc w:val="both"/>
              <w:rPr>
                <w:color w:val="0070C0"/>
              </w:rPr>
            </w:pPr>
          </w:p>
          <w:p w14:paraId="0E679CE6" w14:textId="77777777" w:rsidR="00F73D44" w:rsidRPr="000A0F6D" w:rsidRDefault="006D32B6" w:rsidP="006D32B6">
            <w:pPr>
              <w:spacing w:after="4"/>
              <w:ind w:left="-17"/>
              <w:jc w:val="both"/>
              <w:rPr>
                <w:color w:val="0070C0"/>
              </w:rPr>
            </w:pPr>
            <w:proofErr w:type="gramStart"/>
            <w:r w:rsidRPr="000A0F6D">
              <w:rPr>
                <w:color w:val="0070C0"/>
              </w:rPr>
              <w:t>Találkozások háza</w:t>
            </w:r>
            <w:r w:rsidR="0094398A" w:rsidRPr="000A0F6D">
              <w:rPr>
                <w:color w:val="0070C0"/>
              </w:rPr>
              <w:t xml:space="preserve"> összesen 725 m</w:t>
            </w:r>
            <w:r w:rsidR="0094398A" w:rsidRPr="000A0F6D">
              <w:rPr>
                <w:color w:val="0070C0"/>
                <w:vertAlign w:val="superscript"/>
              </w:rPr>
              <w:t>2</w:t>
            </w:r>
            <w:r w:rsidR="003A309F" w:rsidRPr="000A0F6D">
              <w:rPr>
                <w:color w:val="0070C0"/>
              </w:rPr>
              <w:t>-en kerül</w:t>
            </w:r>
            <w:r w:rsidR="0094398A" w:rsidRPr="000A0F6D">
              <w:rPr>
                <w:color w:val="0070C0"/>
              </w:rPr>
              <w:t xml:space="preserve"> felújítás</w:t>
            </w:r>
            <w:r w:rsidR="003A309F" w:rsidRPr="000A0F6D">
              <w:rPr>
                <w:color w:val="0070C0"/>
              </w:rPr>
              <w:t>ra</w:t>
            </w:r>
            <w:r w:rsidR="0094398A" w:rsidRPr="000A0F6D">
              <w:rPr>
                <w:color w:val="0070C0"/>
              </w:rPr>
              <w:t>, melyb</w:t>
            </w:r>
            <w:r w:rsidR="003A309F" w:rsidRPr="000A0F6D">
              <w:rPr>
                <w:color w:val="0070C0"/>
              </w:rPr>
              <w:t>en benne van az új</w:t>
            </w:r>
            <w:r w:rsidR="0098531D" w:rsidRPr="000A0F6D">
              <w:rPr>
                <w:color w:val="0070C0"/>
              </w:rPr>
              <w:t xml:space="preserve"> közösségi kávézó</w:t>
            </w:r>
            <w:r w:rsidR="003A309F" w:rsidRPr="000A0F6D">
              <w:rPr>
                <w:color w:val="0070C0"/>
              </w:rPr>
              <w:t xml:space="preserve"> és galéria</w:t>
            </w:r>
            <w:r w:rsidR="00144651" w:rsidRPr="000A0F6D">
              <w:rPr>
                <w:color w:val="0070C0"/>
              </w:rPr>
              <w:t xml:space="preserve"> </w:t>
            </w:r>
            <w:proofErr w:type="spellStart"/>
            <w:r w:rsidR="00144651" w:rsidRPr="000A0F6D">
              <w:rPr>
                <w:color w:val="0070C0"/>
              </w:rPr>
              <w:t>kilakítása</w:t>
            </w:r>
            <w:proofErr w:type="spellEnd"/>
            <w:r w:rsidR="003A309F" w:rsidRPr="000A0F6D">
              <w:rPr>
                <w:color w:val="0070C0"/>
              </w:rPr>
              <w:t xml:space="preserve">; egyes helyiségek vakolat javítása és festési munkái, klímák beszerelés; a színházterem </w:t>
            </w:r>
            <w:r w:rsidR="00C017D1" w:rsidRPr="000A0F6D">
              <w:rPr>
                <w:color w:val="0070C0"/>
              </w:rPr>
              <w:t>szellőzőrendszerének a cseréje, mozi vetítővászon és motorjának a cseréje, a színpadi függöny tűzvédelme, vészkijáratok pánikzár cseréje, új komplett fénytechnikai rendszer kiépítése</w:t>
            </w:r>
            <w:r w:rsidR="00144651" w:rsidRPr="000A0F6D">
              <w:rPr>
                <w:color w:val="0070C0"/>
              </w:rPr>
              <w:t>;</w:t>
            </w:r>
            <w:r w:rsidR="00C017D1" w:rsidRPr="000A0F6D">
              <w:rPr>
                <w:color w:val="0070C0"/>
              </w:rPr>
              <w:t xml:space="preserve"> könyvtár</w:t>
            </w:r>
            <w:r w:rsidR="00144651" w:rsidRPr="000A0F6D">
              <w:rPr>
                <w:color w:val="0070C0"/>
              </w:rPr>
              <w:t xml:space="preserve"> feletti </w:t>
            </w:r>
            <w:r w:rsidR="00C017D1" w:rsidRPr="000A0F6D">
              <w:rPr>
                <w:color w:val="0070C0"/>
              </w:rPr>
              <w:t>tető</w:t>
            </w:r>
            <w:r w:rsidR="00144651" w:rsidRPr="000A0F6D">
              <w:rPr>
                <w:color w:val="0070C0"/>
              </w:rPr>
              <w:t xml:space="preserve"> felújítása, újralécezéssel, cserepezéssel, gipszkartonozással és hőszigeteléssel; külső teraszokon </w:t>
            </w:r>
            <w:r w:rsidR="00F73D44" w:rsidRPr="000A0F6D">
              <w:rPr>
                <w:color w:val="0070C0"/>
              </w:rPr>
              <w:t xml:space="preserve">a </w:t>
            </w:r>
            <w:r w:rsidR="00144651" w:rsidRPr="000A0F6D">
              <w:rPr>
                <w:color w:val="0070C0"/>
              </w:rPr>
              <w:t>burkolat visszabontá</w:t>
            </w:r>
            <w:r w:rsidR="00F73D44" w:rsidRPr="000A0F6D">
              <w:rPr>
                <w:color w:val="0070C0"/>
              </w:rPr>
              <w:t>sával új vízszigetelés készítése és újra burkolása; főbejárati ajtók</w:t>
            </w:r>
            <w:proofErr w:type="gramEnd"/>
            <w:r w:rsidR="00F73D44" w:rsidRPr="000A0F6D">
              <w:rPr>
                <w:color w:val="0070C0"/>
              </w:rPr>
              <w:t xml:space="preserve"> cseréje</w:t>
            </w:r>
            <w:r w:rsidR="0098531D" w:rsidRPr="000A0F6D">
              <w:rPr>
                <w:color w:val="0070C0"/>
              </w:rPr>
              <w:t>.</w:t>
            </w:r>
          </w:p>
          <w:p w14:paraId="73F813EB" w14:textId="77777777" w:rsidR="00D6438F" w:rsidRPr="000A0F6D" w:rsidRDefault="00035C53" w:rsidP="006D32B6">
            <w:pPr>
              <w:spacing w:after="4"/>
              <w:ind w:left="-17"/>
              <w:jc w:val="both"/>
              <w:rPr>
                <w:color w:val="0070C0"/>
              </w:rPr>
            </w:pPr>
            <w:r w:rsidRPr="000A0F6D">
              <w:rPr>
                <w:color w:val="0070C0"/>
              </w:rPr>
              <w:t>Zöldfelületek, parkok, terek e felújítása 5.400 m</w:t>
            </w:r>
            <w:r w:rsidRPr="000A0F6D">
              <w:rPr>
                <w:color w:val="0070C0"/>
                <w:vertAlign w:val="superscript"/>
              </w:rPr>
              <w:t>2</w:t>
            </w:r>
            <w:r w:rsidRPr="000A0F6D">
              <w:rPr>
                <w:color w:val="0070C0"/>
              </w:rPr>
              <w:t xml:space="preserve">-en, melyben szerepel </w:t>
            </w:r>
            <w:r w:rsidR="00F73D44" w:rsidRPr="000A0F6D">
              <w:rPr>
                <w:color w:val="0070C0"/>
              </w:rPr>
              <w:t>a Városháza tér</w:t>
            </w:r>
            <w:r w:rsidRPr="000A0F6D">
              <w:rPr>
                <w:color w:val="0070C0"/>
              </w:rPr>
              <w:t xml:space="preserve"> megújítása új burkolt útvonalak kialakításával</w:t>
            </w:r>
            <w:r w:rsidR="00F73D44" w:rsidRPr="000A0F6D">
              <w:rPr>
                <w:color w:val="0070C0"/>
              </w:rPr>
              <w:t>, játszótér</w:t>
            </w:r>
            <w:r w:rsidRPr="000A0F6D">
              <w:rPr>
                <w:color w:val="0070C0"/>
              </w:rPr>
              <w:t>rel</w:t>
            </w:r>
            <w:r w:rsidR="00F73D44" w:rsidRPr="000A0F6D">
              <w:rPr>
                <w:color w:val="0070C0"/>
              </w:rPr>
              <w:t xml:space="preserve">, </w:t>
            </w:r>
            <w:r w:rsidRPr="000A0F6D">
              <w:rPr>
                <w:color w:val="0070C0"/>
              </w:rPr>
              <w:t xml:space="preserve">különböző </w:t>
            </w:r>
            <w:r w:rsidR="00F73D44" w:rsidRPr="000A0F6D">
              <w:rPr>
                <w:color w:val="0070C0"/>
              </w:rPr>
              <w:t>növény</w:t>
            </w:r>
            <w:r w:rsidRPr="000A0F6D">
              <w:rPr>
                <w:color w:val="0070C0"/>
              </w:rPr>
              <w:t xml:space="preserve">ek </w:t>
            </w:r>
            <w:proofErr w:type="gramStart"/>
            <w:r w:rsidR="00F73D44" w:rsidRPr="000A0F6D">
              <w:rPr>
                <w:color w:val="0070C0"/>
              </w:rPr>
              <w:t>telepíté</w:t>
            </w:r>
            <w:r w:rsidRPr="000A0F6D">
              <w:rPr>
                <w:color w:val="0070C0"/>
              </w:rPr>
              <w:t>sével</w:t>
            </w:r>
            <w:proofErr w:type="gramEnd"/>
            <w:r w:rsidRPr="000A0F6D">
              <w:rPr>
                <w:color w:val="0070C0"/>
              </w:rPr>
              <w:t xml:space="preserve"> új zöldfelületek</w:t>
            </w:r>
            <w:r w:rsidR="00BD3AE4" w:rsidRPr="000A0F6D">
              <w:rPr>
                <w:color w:val="0070C0"/>
              </w:rPr>
              <w:t>kel</w:t>
            </w:r>
            <w:r w:rsidR="00F73D44" w:rsidRPr="000A0F6D">
              <w:rPr>
                <w:color w:val="0070C0"/>
              </w:rPr>
              <w:t xml:space="preserve">, </w:t>
            </w:r>
            <w:r w:rsidRPr="000A0F6D">
              <w:rPr>
                <w:color w:val="0070C0"/>
              </w:rPr>
              <w:t>utcabútorokkal</w:t>
            </w:r>
            <w:r w:rsidR="00BD3AE4" w:rsidRPr="000A0F6D">
              <w:rPr>
                <w:color w:val="0070C0"/>
              </w:rPr>
              <w:t>; a Kossuth utcán lévő díszkertek a gimnázium oldalában egészen az előtte lévő térig</w:t>
            </w:r>
            <w:r w:rsidRPr="000A0F6D">
              <w:rPr>
                <w:color w:val="0070C0"/>
              </w:rPr>
              <w:t>,</w:t>
            </w:r>
            <w:r w:rsidR="00BD3AE4" w:rsidRPr="000A0F6D">
              <w:rPr>
                <w:color w:val="0070C0"/>
              </w:rPr>
              <w:t xml:space="preserve"> ah</w:t>
            </w:r>
            <w:r w:rsidR="00D6438F" w:rsidRPr="000A0F6D">
              <w:rPr>
                <w:color w:val="0070C0"/>
              </w:rPr>
              <w:t>ol szintén új utcabútorokkal, napvitorlával, új burkolattal és növények telepítésével újul meg a tér.</w:t>
            </w:r>
          </w:p>
          <w:p w14:paraId="014A494C" w14:textId="77777777" w:rsidR="00B3348F" w:rsidRPr="000A0F6D" w:rsidRDefault="00B3348F" w:rsidP="006D32B6">
            <w:pPr>
              <w:spacing w:after="4"/>
              <w:ind w:left="-17"/>
              <w:jc w:val="both"/>
              <w:rPr>
                <w:color w:val="0070C0"/>
              </w:rPr>
            </w:pPr>
          </w:p>
          <w:p w14:paraId="3334D02E" w14:textId="139DFD44" w:rsidR="00923C2A" w:rsidRPr="00CD11C6" w:rsidRDefault="00920B6F" w:rsidP="000A0F6D">
            <w:pPr>
              <w:spacing w:after="4"/>
              <w:ind w:left="-17"/>
              <w:jc w:val="both"/>
              <w:rPr>
                <w:color w:val="0070C0"/>
              </w:rPr>
            </w:pPr>
            <w:r w:rsidRPr="000A0F6D">
              <w:rPr>
                <w:color w:val="0070C0"/>
              </w:rPr>
              <w:t>Kialakításra kerül egy nyilván</w:t>
            </w:r>
            <w:r w:rsidR="00D6438F" w:rsidRPr="000A0F6D">
              <w:rPr>
                <w:color w:val="0070C0"/>
              </w:rPr>
              <w:t xml:space="preserve">os </w:t>
            </w:r>
            <w:r w:rsidRPr="000A0F6D">
              <w:rPr>
                <w:color w:val="0070C0"/>
              </w:rPr>
              <w:t>illemhely</w:t>
            </w:r>
            <w:r w:rsidR="00D6438F" w:rsidRPr="000A0F6D">
              <w:rPr>
                <w:color w:val="0070C0"/>
              </w:rPr>
              <w:t xml:space="preserve"> a Városháza tér és a Találkozások Háza között, valamint vele szemben </w:t>
            </w:r>
            <w:r w:rsidR="00B3348F" w:rsidRPr="000A0F6D">
              <w:rPr>
                <w:color w:val="0070C0"/>
              </w:rPr>
              <w:t>300 m</w:t>
            </w:r>
            <w:r w:rsidR="00B3348F" w:rsidRPr="000A0F6D">
              <w:rPr>
                <w:color w:val="0070C0"/>
                <w:vertAlign w:val="superscript"/>
              </w:rPr>
              <w:t>2</w:t>
            </w:r>
            <w:r w:rsidR="00B3348F" w:rsidRPr="000A0F6D">
              <w:rPr>
                <w:color w:val="0070C0"/>
              </w:rPr>
              <w:t xml:space="preserve"> területen térkő</w:t>
            </w:r>
            <w:r w:rsidRPr="000A0F6D">
              <w:rPr>
                <w:color w:val="0070C0"/>
              </w:rPr>
              <w:t xml:space="preserve"> </w:t>
            </w:r>
            <w:r w:rsidR="00B3348F" w:rsidRPr="000A0F6D">
              <w:rPr>
                <w:color w:val="0070C0"/>
              </w:rPr>
              <w:t xml:space="preserve">burkolatot kap a járda és buszmegálló területe </w:t>
            </w:r>
            <w:r w:rsidR="00D6438F" w:rsidRPr="000A0F6D">
              <w:rPr>
                <w:color w:val="0070C0"/>
              </w:rPr>
              <w:t>az Ady E. utca végén</w:t>
            </w:r>
            <w:r w:rsidR="00B3348F" w:rsidRPr="000A0F6D">
              <w:rPr>
                <w:color w:val="0070C0"/>
              </w:rPr>
              <w:t>.</w:t>
            </w:r>
            <w:r w:rsidR="00D6438F">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0A0F6D" w:rsidRDefault="00327337" w:rsidP="0032733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46FD6387" w14:textId="77777777"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Részajánlattétel biztosítása ellentétes lenne a gazdasági és műszaki ésszerűséggel.</w:t>
            </w:r>
          </w:p>
          <w:p w14:paraId="01E0170D" w14:textId="77777777"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 xml:space="preserve">A pályázat alapcélja egy komfortos, mai elvárásoknak és városi szintnek megfelelő élhető településközpont kialakítása a városban. Mindezt figyelembe véve, a kiviteli terv kidolgozásánál fő szempont volt, hogy egy vonalban felfűzve egymást követő zöld </w:t>
            </w:r>
            <w:proofErr w:type="gramStart"/>
            <w:r w:rsidRPr="000A0F6D">
              <w:rPr>
                <w:rFonts w:ascii="Helvetica" w:hAnsi="Helvetica" w:cs="Helvetica"/>
                <w:color w:val="336699"/>
                <w:sz w:val="21"/>
                <w:szCs w:val="21"/>
                <w:shd w:val="clear" w:color="auto" w:fill="FFFFFF"/>
              </w:rPr>
              <w:t>felületek  kerüljenek</w:t>
            </w:r>
            <w:proofErr w:type="gramEnd"/>
            <w:r w:rsidRPr="000A0F6D">
              <w:rPr>
                <w:rFonts w:ascii="Helvetica" w:hAnsi="Helvetica" w:cs="Helvetica"/>
                <w:color w:val="336699"/>
                <w:sz w:val="21"/>
                <w:szCs w:val="21"/>
                <w:shd w:val="clear" w:color="auto" w:fill="FFFFFF"/>
              </w:rPr>
              <w:t xml:space="preserve">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2E1D5D08" w14:textId="77777777" w:rsidR="00881817" w:rsidRDefault="00881817" w:rsidP="000A0F6D">
            <w:pPr>
              <w:ind w:right="56"/>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Fentiekben foglaltak alapján nem lenne célszerű megbontania pályázatban megvalósuló beruházást több külön projektre.</w:t>
            </w:r>
          </w:p>
          <w:p w14:paraId="49556682" w14:textId="77777777" w:rsidR="00881817" w:rsidRDefault="00881817" w:rsidP="00881817">
            <w:pPr>
              <w:ind w:left="56" w:right="56"/>
              <w:rPr>
                <w:rFonts w:ascii="Helvetica" w:hAnsi="Helvetica" w:cs="Helvetica"/>
                <w:color w:val="336699"/>
                <w:sz w:val="21"/>
                <w:szCs w:val="21"/>
                <w:shd w:val="clear" w:color="auto" w:fill="FFFFFF"/>
              </w:rPr>
            </w:pPr>
          </w:p>
          <w:p w14:paraId="1668063D" w14:textId="3786CC39" w:rsidR="00340854" w:rsidRPr="000C1510" w:rsidRDefault="00340854" w:rsidP="00881817">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r>
            <w:r w:rsidRPr="000C1510">
              <w:rPr>
                <w:rFonts w:ascii="Garamond" w:hAnsi="Garamond"/>
                <w:sz w:val="22"/>
                <w:szCs w:val="22"/>
              </w:rPr>
              <w:lastRenderedPageBreak/>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41E9EC39"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49D6AE0D"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0D76B1" w:rsidRPr="008F4962">
              <w:rPr>
                <w:rFonts w:ascii="Garamond" w:hAnsi="Garamond"/>
                <w:color w:val="0070C0"/>
                <w:sz w:val="22"/>
                <w:szCs w:val="22"/>
              </w:rPr>
              <w:t xml:space="preserve">4440 </w:t>
            </w:r>
            <w:r w:rsidR="000D76B1" w:rsidRPr="00281411">
              <w:rPr>
                <w:rFonts w:ascii="Garamond" w:eastAsia="DejaVuSerif" w:hAnsi="Garamond" w:cs="DejaVuSerif"/>
                <w:color w:val="0070C0"/>
                <w:sz w:val="22"/>
                <w:szCs w:val="22"/>
              </w:rPr>
              <w:t>Tiszavasvári, Szabadság tér 1</w:t>
            </w:r>
            <w:proofErr w:type="gramStart"/>
            <w:r w:rsidR="000D76B1" w:rsidRPr="00281411">
              <w:rPr>
                <w:rFonts w:ascii="Garamond" w:eastAsia="DejaVuSerif" w:hAnsi="Garamond" w:cs="DejaVuSerif"/>
                <w:color w:val="0070C0"/>
                <w:sz w:val="22"/>
                <w:szCs w:val="22"/>
              </w:rPr>
              <w:t>.</w:t>
            </w:r>
            <w:r w:rsidR="000D76B1">
              <w:rPr>
                <w:rFonts w:ascii="Garamond" w:eastAsia="DejaVuSerif" w:hAnsi="Garamond" w:cs="DejaVuSerif"/>
                <w:color w:val="0070C0"/>
                <w:sz w:val="22"/>
                <w:szCs w:val="22"/>
              </w:rPr>
              <w:t>,</w:t>
            </w:r>
            <w:proofErr w:type="gramEnd"/>
            <w:r w:rsidR="000D76B1">
              <w:rPr>
                <w:rFonts w:ascii="Garamond" w:eastAsia="DejaVuSerif" w:hAnsi="Garamond" w:cs="DejaVuSerif"/>
                <w:color w:val="0070C0"/>
                <w:sz w:val="22"/>
                <w:szCs w:val="22"/>
              </w:rPr>
              <w:t xml:space="preserve"> </w:t>
            </w:r>
            <w:r w:rsidR="000D76B1" w:rsidRPr="00281411">
              <w:rPr>
                <w:rFonts w:ascii="Garamond" w:eastAsia="DejaVuSerif" w:hAnsi="Garamond" w:cs="DejaVuSerif"/>
                <w:color w:val="0070C0"/>
                <w:sz w:val="22"/>
                <w:szCs w:val="22"/>
              </w:rPr>
              <w:t>19 hrsz</w:t>
            </w:r>
            <w:r w:rsidR="000D76B1">
              <w:rPr>
                <w:rFonts w:ascii="Garamond" w:eastAsia="DejaVuSerif" w:hAnsi="Garamond" w:cs="DejaVuSerif"/>
                <w:color w:val="0070C0"/>
                <w:sz w:val="22"/>
                <w:szCs w:val="22"/>
              </w:rPr>
              <w:t>.</w:t>
            </w:r>
            <w:r w:rsidR="00D25119">
              <w:rPr>
                <w:rFonts w:ascii="Garamond" w:eastAsia="DejaVuSerif" w:hAnsi="Garamond" w:cs="DejaVuSerif"/>
                <w:color w:val="0070C0"/>
                <w:sz w:val="22"/>
                <w:szCs w:val="22"/>
              </w:rPr>
              <w:t xml:space="preserve">, </w:t>
            </w:r>
            <w:r w:rsidR="00D25119" w:rsidRPr="00D25119">
              <w:rPr>
                <w:rFonts w:ascii="Garamond" w:hAnsi="Garamond" w:cs="Times New Roman"/>
                <w:color w:val="0070C0"/>
                <w:sz w:val="22"/>
                <w:szCs w:val="22"/>
              </w:rPr>
              <w:t>Kossuth Lajos utca 2854/3, 2850/1, 2848/2 hrsz, Hétvezér utca 2843, 2834 hrsz, Báthori utca 31 hrsz, Ady Endre utca 18 hrsz, Városháza tér 10/3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Pr="000A0F6D" w:rsidRDefault="00340854">
            <w:pPr>
              <w:ind w:left="56" w:right="56"/>
              <w:rPr>
                <w:rFonts w:ascii="Garamond" w:hAnsi="Garamond"/>
                <w:b/>
                <w:bCs/>
                <w:color w:val="2E74B5" w:themeColor="accent1" w:themeShade="BF"/>
                <w:sz w:val="22"/>
                <w:szCs w:val="22"/>
              </w:rPr>
            </w:pPr>
            <w:r w:rsidRPr="000A0F6D">
              <w:rPr>
                <w:rFonts w:ascii="Garamond" w:hAnsi="Garamond"/>
                <w:sz w:val="22"/>
                <w:szCs w:val="22"/>
              </w:rPr>
              <w:t xml:space="preserve"> </w:t>
            </w:r>
            <w:r w:rsidRPr="000A0F6D">
              <w:rPr>
                <w:rFonts w:ascii="Garamond" w:hAnsi="Garamond"/>
                <w:b/>
                <w:bCs/>
                <w:sz w:val="22"/>
                <w:szCs w:val="22"/>
              </w:rPr>
              <w:t xml:space="preserve">II.2.4) </w:t>
            </w:r>
            <w:proofErr w:type="gramStart"/>
            <w:r w:rsidRPr="000A0F6D">
              <w:rPr>
                <w:rFonts w:ascii="Garamond" w:hAnsi="Garamond"/>
                <w:b/>
                <w:bCs/>
                <w:sz w:val="22"/>
                <w:szCs w:val="22"/>
              </w:rPr>
              <w:t>A</w:t>
            </w:r>
            <w:proofErr w:type="gramEnd"/>
            <w:r w:rsidRPr="000A0F6D">
              <w:rPr>
                <w:rFonts w:ascii="Garamond" w:hAnsi="Garamond"/>
                <w:b/>
                <w:bCs/>
                <w:sz w:val="22"/>
                <w:szCs w:val="22"/>
              </w:rPr>
              <w:t xml:space="preserve"> közbeszerzés mennyisége</w:t>
            </w:r>
            <w:r w:rsidRPr="000A0F6D">
              <w:rPr>
                <w:rFonts w:ascii="Garamond" w:hAnsi="Garamond"/>
                <w:b/>
                <w:bCs/>
                <w:color w:val="2E74B5" w:themeColor="accent1" w:themeShade="BF"/>
                <w:sz w:val="22"/>
                <w:szCs w:val="22"/>
              </w:rPr>
              <w:t>:</w:t>
            </w:r>
            <w:r w:rsidR="0023090B" w:rsidRPr="000A0F6D">
              <w:rPr>
                <w:rFonts w:ascii="Garamond" w:hAnsi="Garamond"/>
                <w:b/>
                <w:bCs/>
                <w:color w:val="2E74B5" w:themeColor="accent1" w:themeShade="BF"/>
                <w:sz w:val="22"/>
                <w:szCs w:val="22"/>
              </w:rPr>
              <w:t xml:space="preserve"> </w:t>
            </w:r>
          </w:p>
          <w:p w14:paraId="41A4829B" w14:textId="5191F2EF" w:rsidR="001C300F" w:rsidRPr="000A0F6D" w:rsidRDefault="001C300F" w:rsidP="001C300F">
            <w:pPr>
              <w:spacing w:after="4"/>
              <w:ind w:left="-17"/>
              <w:jc w:val="both"/>
              <w:rPr>
                <w:color w:val="0070C0"/>
              </w:rPr>
            </w:pPr>
            <w:r w:rsidRPr="000A0F6D">
              <w:rPr>
                <w:color w:val="0070C0"/>
              </w:rPr>
              <w:t>A projekt keretében felújításra kerül a Találkozások háza, melyben egy új közösségi kávézó és a felette lévő helyiségben egy galéria is kialakításra kerül, a központi park mellett megvalósul egy nyilvános illemhely, melyre nagy szükség van a városközpontban, továbbá több zöldfelület, tér, park is megújul a beruházásból.</w:t>
            </w:r>
          </w:p>
          <w:p w14:paraId="5F335796" w14:textId="77777777" w:rsidR="001C300F" w:rsidRPr="000A0F6D" w:rsidRDefault="001C300F" w:rsidP="001C300F">
            <w:pPr>
              <w:spacing w:after="4"/>
              <w:ind w:left="-17"/>
              <w:jc w:val="both"/>
              <w:rPr>
                <w:color w:val="0070C0"/>
              </w:rPr>
            </w:pPr>
          </w:p>
          <w:p w14:paraId="4FB4092E" w14:textId="26916A77" w:rsidR="001C300F" w:rsidRPr="000A0F6D" w:rsidRDefault="001C300F" w:rsidP="001C300F">
            <w:pPr>
              <w:spacing w:after="4"/>
              <w:ind w:left="-17"/>
              <w:jc w:val="both"/>
              <w:rPr>
                <w:color w:val="0070C0"/>
              </w:rPr>
            </w:pPr>
            <w:proofErr w:type="gramStart"/>
            <w:r w:rsidRPr="000A0F6D">
              <w:rPr>
                <w:color w:val="0070C0"/>
              </w:rPr>
              <w:t>Találkozások háza összesen 725 m</w:t>
            </w:r>
            <w:r w:rsidRPr="000A0F6D">
              <w:rPr>
                <w:color w:val="0070C0"/>
                <w:vertAlign w:val="superscript"/>
              </w:rPr>
              <w:t>2</w:t>
            </w:r>
            <w:r w:rsidRPr="000A0F6D">
              <w:rPr>
                <w:color w:val="0070C0"/>
              </w:rPr>
              <w:t>-en kerül felújításra, melyben benne van az új közösségi kávézó és galéria ki</w:t>
            </w:r>
            <w:r w:rsidR="005377DD" w:rsidRPr="000A0F6D">
              <w:rPr>
                <w:color w:val="0070C0"/>
              </w:rPr>
              <w:t>a</w:t>
            </w:r>
            <w:r w:rsidRPr="000A0F6D">
              <w:rPr>
                <w:color w:val="0070C0"/>
              </w:rPr>
              <w:t>lakítása; egyes helyiségek vakolat javítása és festési munkái, klímák beszerelés</w:t>
            </w:r>
            <w:r w:rsidR="00246542" w:rsidRPr="000A0F6D">
              <w:rPr>
                <w:color w:val="0070C0"/>
              </w:rPr>
              <w:t>e (6db)</w:t>
            </w:r>
            <w:r w:rsidRPr="000A0F6D">
              <w:rPr>
                <w:color w:val="0070C0"/>
              </w:rPr>
              <w:t>; a színházterem szellőzőrendszerének a cseréje, mozi vetítővászon és motorjának a cseréje, a színpadi függöny tűzvédelme, vészkijáratok pánikzár cseréje, új komplett fénytechnikai rendszer kiépítése; könyvtár feletti tető felújítása, újralécezéssel, cserepezéssel, gipszkartonozással és hőszigeteléssel; külső teraszokon a burkolat visszabontásával új vízszigetelés készítése és újra burkolása; főbejárati</w:t>
            </w:r>
            <w:proofErr w:type="gramEnd"/>
            <w:r w:rsidRPr="000A0F6D">
              <w:rPr>
                <w:color w:val="0070C0"/>
              </w:rPr>
              <w:t xml:space="preserve"> ajtók cseréje.</w:t>
            </w:r>
          </w:p>
          <w:p w14:paraId="48D114EF" w14:textId="1B87B801" w:rsidR="001C300F" w:rsidRPr="000A0F6D" w:rsidRDefault="001C300F" w:rsidP="001C300F">
            <w:pPr>
              <w:spacing w:after="4"/>
              <w:ind w:left="-17"/>
              <w:jc w:val="both"/>
              <w:rPr>
                <w:color w:val="0070C0"/>
              </w:rPr>
            </w:pPr>
            <w:proofErr w:type="gramStart"/>
            <w:r w:rsidRPr="000A0F6D">
              <w:rPr>
                <w:color w:val="0070C0"/>
              </w:rPr>
              <w:t>Zöldfelületek, parkok, terek e felújítása 5.400 m</w:t>
            </w:r>
            <w:r w:rsidRPr="000A0F6D">
              <w:rPr>
                <w:color w:val="0070C0"/>
                <w:vertAlign w:val="superscript"/>
              </w:rPr>
              <w:t>2</w:t>
            </w:r>
            <w:r w:rsidRPr="000A0F6D">
              <w:rPr>
                <w:color w:val="0070C0"/>
              </w:rPr>
              <w:t>-en, melyben szerepel a Városháza tér megújítása új burkolt útvonalak kialakításával, játszótérrel, különböző növények telepítésével új zöldfelületekkel, utcabútorokkal</w:t>
            </w:r>
            <w:r w:rsidR="002D34E2" w:rsidRPr="000A0F6D">
              <w:rPr>
                <w:color w:val="0070C0"/>
              </w:rPr>
              <w:t xml:space="preserve"> és egy 3 méter magas 16 méter hosszan húzódó zöldfallal, amely árnyékot biztosít az előtte telepítendő padokhoz</w:t>
            </w:r>
            <w:r w:rsidRPr="000A0F6D">
              <w:rPr>
                <w:color w:val="0070C0"/>
              </w:rPr>
              <w:t>; a Kossuth utcán lévő díszkertek a gimnázium oldalában egészen az előtte lévő térig, ahol szintén új utcabútorokkal, napvitorlával, új burkolattal és növények telepítésével újul meg a tér.</w:t>
            </w:r>
            <w:proofErr w:type="gramEnd"/>
          </w:p>
          <w:p w14:paraId="181CEBE5" w14:textId="77777777" w:rsidR="001C300F" w:rsidRPr="000A0F6D" w:rsidRDefault="001C300F" w:rsidP="001C300F">
            <w:pPr>
              <w:spacing w:after="4"/>
              <w:ind w:left="-17"/>
              <w:jc w:val="both"/>
              <w:rPr>
                <w:color w:val="0070C0"/>
              </w:rPr>
            </w:pPr>
          </w:p>
          <w:p w14:paraId="273AB5C5" w14:textId="7F03D867" w:rsidR="00CD11C6" w:rsidRPr="000A0F6D" w:rsidRDefault="001C300F" w:rsidP="000A0F6D">
            <w:pPr>
              <w:spacing w:after="4"/>
              <w:ind w:left="-17"/>
              <w:jc w:val="both"/>
              <w:rPr>
                <w:color w:val="0070C0"/>
              </w:rPr>
            </w:pPr>
            <w:r w:rsidRPr="000A0F6D">
              <w:rPr>
                <w:color w:val="0070C0"/>
              </w:rPr>
              <w:t>Kialakításra kerül egy nyilvános illemhely a Városháza tér és a Találkozások Háza között, valamint vele szemben 300 m</w:t>
            </w:r>
            <w:r w:rsidRPr="000A0F6D">
              <w:rPr>
                <w:color w:val="0070C0"/>
                <w:vertAlign w:val="superscript"/>
              </w:rPr>
              <w:t>2</w:t>
            </w:r>
            <w:r w:rsidRPr="000A0F6D">
              <w:rPr>
                <w:color w:val="0070C0"/>
              </w:rPr>
              <w:t xml:space="preserve"> területen térkő burkolatot kap a járda és buszmegálló területe az Ady E. utca végén. </w:t>
            </w:r>
          </w:p>
          <w:p w14:paraId="643ABFAB" w14:textId="77777777" w:rsidR="000275DD" w:rsidRPr="000A0F6D" w:rsidRDefault="000275DD" w:rsidP="000275DD">
            <w:pPr>
              <w:jc w:val="both"/>
              <w:rPr>
                <w:color w:val="2E74B5" w:themeColor="accent1" w:themeShade="BF"/>
                <w:sz w:val="16"/>
                <w:szCs w:val="16"/>
                <w:u w:val="single"/>
              </w:rPr>
            </w:pPr>
          </w:p>
          <w:p w14:paraId="74CAF7C0" w14:textId="67219D0E" w:rsidR="005A0BDB" w:rsidRPr="000A0F6D" w:rsidRDefault="000D76B1" w:rsidP="005A0BDB">
            <w:pPr>
              <w:rPr>
                <w:color w:val="0070C0"/>
                <w:sz w:val="22"/>
                <w:szCs w:val="22"/>
              </w:rPr>
            </w:pPr>
            <w:r w:rsidRPr="000A0F6D">
              <w:rPr>
                <w:color w:val="0070C0"/>
                <w:sz w:val="22"/>
                <w:szCs w:val="22"/>
              </w:rPr>
              <w:t xml:space="preserve">Az építési beruházás nem építési engedélyköteles tevékenység. </w:t>
            </w:r>
          </w:p>
          <w:p w14:paraId="048B95D9" w14:textId="77777777" w:rsidR="000D76B1" w:rsidRPr="000A0F6D" w:rsidRDefault="000D76B1" w:rsidP="005A0BDB">
            <w:pPr>
              <w:rPr>
                <w:color w:val="0070C0"/>
                <w:sz w:val="22"/>
                <w:szCs w:val="22"/>
              </w:rPr>
            </w:pPr>
          </w:p>
          <w:p w14:paraId="55F42B29" w14:textId="0F9300F3" w:rsidR="000D76B1" w:rsidRPr="000A0F6D" w:rsidRDefault="000D76B1" w:rsidP="000D76B1">
            <w:pPr>
              <w:widowControl/>
              <w:rPr>
                <w:rFonts w:eastAsia="DejaVuSerif"/>
                <w:color w:val="0070C0"/>
              </w:rPr>
            </w:pPr>
            <w:r w:rsidRPr="000A0F6D">
              <w:rPr>
                <w:rFonts w:eastAsia="DejaVuSerif"/>
                <w:color w:val="0070C0"/>
              </w:rPr>
              <w:t>A részletes műszaki leírást és mennyiségi kiírást a közbeszerzési dokumentáció tartalmazza.</w:t>
            </w:r>
          </w:p>
          <w:p w14:paraId="1328ACB9" w14:textId="77777777" w:rsidR="000D76B1" w:rsidRPr="000A0F6D" w:rsidRDefault="000D76B1" w:rsidP="000D76B1">
            <w:pPr>
              <w:widowControl/>
              <w:rPr>
                <w:rFonts w:eastAsia="DejaVuSerif"/>
                <w:color w:val="0070C0"/>
              </w:rPr>
            </w:pPr>
          </w:p>
          <w:p w14:paraId="1A76ED1B" w14:textId="77777777" w:rsidR="000D76B1" w:rsidRPr="000A0F6D" w:rsidRDefault="000D76B1" w:rsidP="000A0F6D">
            <w:pPr>
              <w:ind w:right="56"/>
              <w:rPr>
                <w:rFonts w:eastAsia="DejaVuSerif"/>
                <w:color w:val="0070C0"/>
              </w:rPr>
            </w:pPr>
            <w:r w:rsidRPr="000A0F6D">
              <w:rPr>
                <w:rFonts w:eastAsia="DejaVuSerif"/>
                <w:color w:val="0070C0"/>
              </w:rPr>
              <w:t>Ajánlatkérő felhívja a figyelmet a 321/2015. (X.30) Korm. rendelet 46. § (3) bekezdésében foglaltakra.</w:t>
            </w:r>
          </w:p>
          <w:p w14:paraId="4B61823D" w14:textId="449AE0A9" w:rsidR="00340854" w:rsidRPr="000A0F6D" w:rsidRDefault="00340854" w:rsidP="005A0BDB">
            <w:pPr>
              <w:ind w:right="56"/>
              <w:rPr>
                <w:rFonts w:ascii="Garamond" w:hAnsi="Garamond"/>
                <w:i/>
                <w:iCs/>
                <w:sz w:val="22"/>
                <w:szCs w:val="22"/>
              </w:rPr>
            </w:pPr>
            <w:r w:rsidRPr="000A0F6D">
              <w:rPr>
                <w:rFonts w:ascii="Garamond" w:hAnsi="Garamond"/>
                <w:b/>
                <w:bCs/>
                <w:sz w:val="22"/>
                <w:szCs w:val="22"/>
              </w:rPr>
              <w:br/>
            </w:r>
            <w:r w:rsidRPr="000A0F6D">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3B943539"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1.</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építési</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094431">
              <w:rPr>
                <w:rFonts w:ascii="Helvetica" w:hAnsi="Helvetica" w:cs="Helvetica"/>
                <w:color w:val="336699"/>
                <w:sz w:val="21"/>
                <w:szCs w:val="21"/>
                <w:shd w:val="clear" w:color="auto" w:fill="FFFFFF"/>
              </w:rPr>
              <w:t xml:space="preserve"> / Súlyszám </w:t>
            </w:r>
            <w:r w:rsidR="00C96268" w:rsidRPr="00094431">
              <w:rPr>
                <w:rFonts w:ascii="Helvetica" w:hAnsi="Helvetica" w:cs="Helvetica"/>
                <w:color w:val="336699"/>
                <w:sz w:val="21"/>
                <w:szCs w:val="21"/>
                <w:shd w:val="clear" w:color="auto" w:fill="FFFFFF"/>
              </w:rPr>
              <w:t>1</w:t>
            </w:r>
            <w:r w:rsidR="000D76B1">
              <w:rPr>
                <w:rFonts w:ascii="Helvetica" w:hAnsi="Helvetica" w:cs="Helvetica"/>
                <w:color w:val="336699"/>
                <w:sz w:val="21"/>
                <w:szCs w:val="21"/>
                <w:shd w:val="clear" w:color="auto" w:fill="FFFFFF"/>
              </w:rPr>
              <w:t>5</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60355E3A"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2.</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közlekedési építmények</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0D76B1">
              <w:rPr>
                <w:rFonts w:ascii="Helvetica" w:hAnsi="Helvetica" w:cs="Helvetica"/>
                <w:color w:val="336699"/>
                <w:sz w:val="21"/>
                <w:szCs w:val="21"/>
                <w:shd w:val="clear" w:color="auto" w:fill="FFFFFF"/>
              </w:rPr>
              <w:t>15</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40815FB7"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0D9BF88B"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D6637E" w:rsidRPr="000A0F6D">
              <w:rPr>
                <w:rFonts w:ascii="Garamond" w:hAnsi="Garamond"/>
                <w:color w:val="0070C0"/>
                <w:sz w:val="22"/>
                <w:szCs w:val="22"/>
              </w:rPr>
              <w:t>12</w:t>
            </w:r>
            <w:r w:rsidR="00D24451" w:rsidRPr="000D76B1">
              <w:rPr>
                <w:rFonts w:ascii="Helvetica" w:hAnsi="Helvetica" w:cs="Helvetica"/>
                <w:color w:val="0070C0"/>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Befejezés: </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4A0AE629"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0D76B1" w:rsidRPr="000D76B1">
              <w:rPr>
                <w:color w:val="0070C0"/>
                <w:shd w:val="clear" w:color="auto" w:fill="FFFFFF"/>
              </w:rPr>
              <w:t>TOP_PLUSZ-1.2.1-21-SB1-2022-00006</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FF63B21" w14:textId="08F2A864" w:rsidR="00972A01" w:rsidRPr="007314B4" w:rsidRDefault="00972A01" w:rsidP="0072529A">
            <w:pPr>
              <w:ind w:left="56" w:right="56"/>
              <w:jc w:val="both"/>
              <w:rPr>
                <w:rFonts w:ascii="Helvetica" w:hAnsi="Helvetica" w:cs="Helvetica"/>
                <w:color w:val="2E74B5" w:themeColor="accent1" w:themeShade="BF"/>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sidR="005377DD">
              <w:rPr>
                <w:rFonts w:ascii="Helvetica" w:hAnsi="Helvetica" w:cs="Helvetica"/>
                <w:color w:val="0070C0"/>
                <w:sz w:val="21"/>
                <w:szCs w:val="21"/>
                <w:shd w:val="clear" w:color="auto" w:fill="FFFFFF"/>
              </w:rPr>
              <w:t xml:space="preserve"> </w:t>
            </w:r>
            <w:r w:rsidR="005377DD" w:rsidRPr="000A0F6D">
              <w:rPr>
                <w:rFonts w:ascii="Helvetica" w:hAnsi="Helvetica" w:cs="Helvetica"/>
                <w:color w:val="0070C0"/>
                <w:sz w:val="21"/>
                <w:szCs w:val="21"/>
                <w:shd w:val="clear" w:color="auto" w:fill="FFFFFF"/>
              </w:rPr>
              <w:t xml:space="preserve">Ajánlatkérő felhívja Ajánlattevők figyelmét arra, hogy a teljesítési részhatáridő 2024. május 31. napja, amely időpontig nyertes ajánlattevőnek </w:t>
            </w:r>
            <w:r w:rsidR="007314B4" w:rsidRPr="000A0F6D">
              <w:rPr>
                <w:rFonts w:ascii="Helvetica" w:hAnsi="Helvetica" w:cs="Helvetica"/>
                <w:color w:val="0070C0"/>
                <w:sz w:val="21"/>
                <w:szCs w:val="21"/>
                <w:shd w:val="clear" w:color="auto" w:fill="FFFFFF"/>
              </w:rPr>
              <w:t xml:space="preserve">szerződésnek megfelelően </w:t>
            </w:r>
            <w:r w:rsidR="005377DD" w:rsidRPr="000A0F6D">
              <w:rPr>
                <w:rFonts w:ascii="Helvetica" w:hAnsi="Helvetica" w:cs="Helvetica"/>
                <w:color w:val="0070C0"/>
                <w:sz w:val="21"/>
                <w:szCs w:val="21"/>
                <w:shd w:val="clear" w:color="auto" w:fill="FFFFFF"/>
              </w:rPr>
              <w:t xml:space="preserve">teljesítenie </w:t>
            </w:r>
            <w:r w:rsidR="007314B4" w:rsidRPr="000A0F6D">
              <w:rPr>
                <w:rFonts w:ascii="Helvetica" w:hAnsi="Helvetica" w:cs="Helvetica"/>
                <w:color w:val="0070C0"/>
                <w:sz w:val="21"/>
                <w:szCs w:val="21"/>
                <w:shd w:val="clear" w:color="auto" w:fill="FFFFFF"/>
              </w:rPr>
              <w:t xml:space="preserve">kell </w:t>
            </w:r>
            <w:r w:rsidR="005377DD" w:rsidRPr="000A0F6D">
              <w:rPr>
                <w:rFonts w:ascii="Helvetica" w:hAnsi="Helvetica" w:cs="Helvetica"/>
                <w:color w:val="0070C0"/>
                <w:sz w:val="21"/>
                <w:szCs w:val="21"/>
                <w:shd w:val="clear" w:color="auto" w:fill="FFFFFF"/>
              </w:rPr>
              <w:t>a projektből kialakítandó terek, parkok</w:t>
            </w:r>
            <w:r w:rsidR="007314B4" w:rsidRPr="000A0F6D">
              <w:rPr>
                <w:rFonts w:ascii="Helvetica" w:hAnsi="Helvetica" w:cs="Helvetica"/>
                <w:color w:val="0070C0"/>
                <w:sz w:val="21"/>
                <w:szCs w:val="21"/>
                <w:shd w:val="clear" w:color="auto" w:fill="FFFFFF"/>
              </w:rPr>
              <w:t xml:space="preserve"> kivitelezését teljes körűen.</w:t>
            </w:r>
            <w:r w:rsidR="007314B4" w:rsidRPr="000A0F6D">
              <w:rPr>
                <w:b/>
              </w:rPr>
              <w:t xml:space="preserve"> </w:t>
            </w:r>
            <w:r w:rsidR="007314B4" w:rsidRPr="000A0F6D">
              <w:rPr>
                <w:color w:val="2E74B5" w:themeColor="accent1" w:themeShade="BF"/>
              </w:rPr>
              <w:t>A részteljesítésre a szerződés teljesítésére – 6. pontjában foglalt teljesítési határidők, teljesítési igazolás, kötbér - vonatkozó rendelkezéseit kell alkalmazni.</w:t>
            </w:r>
          </w:p>
          <w:p w14:paraId="59FBD32E" w14:textId="628C063A" w:rsidR="00972A01" w:rsidRPr="005A0BDB" w:rsidRDefault="00972A01" w:rsidP="000A0F6D">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w:t>
            </w:r>
            <w:r w:rsidRPr="005A0BDB">
              <w:rPr>
                <w:rFonts w:ascii="Helvetica" w:hAnsi="Helvetica" w:cs="Helvetica"/>
                <w:color w:val="0070C0"/>
                <w:sz w:val="21"/>
                <w:szCs w:val="21"/>
                <w:shd w:val="clear" w:color="auto" w:fill="FFFFFF"/>
              </w:rPr>
              <w:lastRenderedPageBreak/>
              <w:t xml:space="preserve">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5C29ABB7" w14:textId="77777777"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Részajánlattétel biztosítása ellentétes lenne a gazdasági és műszaki ésszerűséggel.</w:t>
            </w:r>
          </w:p>
          <w:p w14:paraId="45AD8504" w14:textId="77777777"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 xml:space="preserve">A pályázat alapcélja egy komfortos, mai elvárásoknak és városi szintnek megfelelő élhető településközpont kialakítása a városban. Mindezt figyelembe véve, a kiviteli terv kidolgozásánál fő szempont volt, hogy egy vonalban felfűzve egymást követő zöld </w:t>
            </w:r>
            <w:proofErr w:type="gramStart"/>
            <w:r w:rsidRPr="000A0F6D">
              <w:rPr>
                <w:rFonts w:ascii="Helvetica" w:hAnsi="Helvetica" w:cs="Helvetica"/>
                <w:color w:val="0070C0"/>
                <w:sz w:val="21"/>
                <w:szCs w:val="21"/>
                <w:shd w:val="clear" w:color="auto" w:fill="FFFFFF"/>
              </w:rPr>
              <w:t>felületek  kerüljenek</w:t>
            </w:r>
            <w:proofErr w:type="gramEnd"/>
            <w:r w:rsidRPr="000A0F6D">
              <w:rPr>
                <w:rFonts w:ascii="Helvetica" w:hAnsi="Helvetica" w:cs="Helvetica"/>
                <w:color w:val="0070C0"/>
                <w:sz w:val="21"/>
                <w:szCs w:val="21"/>
                <w:shd w:val="clear" w:color="auto" w:fill="FFFFFF"/>
              </w:rPr>
              <w:t xml:space="preserve">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07A6D7E3" w14:textId="2CD4B5C2" w:rsidR="007314B4" w:rsidRPr="007314B4"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0070C0"/>
                <w:sz w:val="21"/>
                <w:szCs w:val="21"/>
                <w:shd w:val="clear" w:color="auto" w:fill="FFFFFF"/>
              </w:rPr>
              <w:t>Fentiekben foglaltak alapján nem lenne célszerű megbontania pályázatban megvalósuló beruházást több külön projektre.</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w:t>
            </w:r>
            <w:r w:rsidRPr="003648AD">
              <w:rPr>
                <w:rFonts w:ascii="Helvetica" w:hAnsi="Helvetica" w:cs="Helvetica"/>
                <w:color w:val="336699"/>
                <w:sz w:val="21"/>
                <w:szCs w:val="21"/>
                <w:shd w:val="clear" w:color="auto" w:fill="FFFFFF"/>
              </w:rPr>
              <w:lastRenderedPageBreak/>
              <w:t xml:space="preserve">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03053897" w14:textId="77777777"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w:t>
            </w:r>
            <w:r w:rsidRPr="00C45CDC">
              <w:rPr>
                <w:rFonts w:ascii="Helvetica" w:hAnsi="Helvetica" w:cs="Helvetica"/>
                <w:color w:val="0070C0"/>
                <w:sz w:val="22"/>
                <w:szCs w:val="22"/>
              </w:rPr>
              <w:lastRenderedPageBreak/>
              <w:t>foglaltakat, azaz az ajánlattevőknek már az ajánlatukban be kell nyújtaniuk az alkalmassági követelmény igazolására vonatkozó, alátámasztó dokumentumokat.</w:t>
            </w:r>
          </w:p>
          <w:p w14:paraId="7A58AB81" w14:textId="77777777" w:rsidR="00141270" w:rsidRPr="00C45CDC" w:rsidRDefault="00141270" w:rsidP="00141270">
            <w:pPr>
              <w:widowControl/>
              <w:jc w:val="both"/>
              <w:rPr>
                <w:rFonts w:ascii="Helvetica" w:hAnsi="Helvetica" w:cs="Helvetica"/>
                <w:color w:val="0070C0"/>
                <w:sz w:val="22"/>
                <w:szCs w:val="22"/>
              </w:rPr>
            </w:pPr>
          </w:p>
          <w:p w14:paraId="36B86BFA" w14:textId="40A3F092"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w:t>
            </w:r>
            <w:proofErr w:type="gramStart"/>
            <w:r w:rsidRPr="00C45CDC">
              <w:rPr>
                <w:rFonts w:ascii="Helvetica" w:hAnsi="Helvetica" w:cs="Helvetica"/>
                <w:color w:val="0070C0"/>
                <w:sz w:val="22"/>
                <w:szCs w:val="22"/>
              </w:rPr>
              <w:t xml:space="preserve">§ (1) bekezdés c) pontjára tekintettel köteles benyújtani az eljárást megindító felhívás feladásának napját megelőző 3 (három) mérlegfordulónappal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roofErr w:type="gramEnd"/>
          </w:p>
          <w:p w14:paraId="1CA7B7F3" w14:textId="5C1326D1" w:rsidR="003B0504" w:rsidRPr="008128BB"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575D6960" w:rsidR="003B0504" w:rsidRPr="00D04EDC" w:rsidRDefault="00141270" w:rsidP="00141270">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 xml:space="preserve">P/1. Az Ajánlattevő (közös ajánlattevő) alkalmatlan, amennyiben az eljárást megindító </w:t>
            </w:r>
            <w:r w:rsidRPr="00C45CDC">
              <w:rPr>
                <w:rFonts w:ascii="Helvetica" w:hAnsi="Helvetica" w:cs="Helvetica"/>
                <w:color w:val="0070C0"/>
                <w:sz w:val="22"/>
                <w:szCs w:val="22"/>
              </w:rPr>
              <w:lastRenderedPageBreak/>
              <w:t>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w:t>
            </w:r>
            <w:r w:rsidRPr="00E7144A">
              <w:rPr>
                <w:rFonts w:ascii="Helvetica" w:hAnsi="Helvetica" w:cs="Helvetica"/>
                <w:color w:val="0070C0"/>
                <w:sz w:val="22"/>
                <w:szCs w:val="22"/>
              </w:rPr>
              <w:t xml:space="preserve">éri el összesen a </w:t>
            </w:r>
            <w:r w:rsidR="00A705DD" w:rsidRPr="00E7144A">
              <w:rPr>
                <w:rFonts w:ascii="Helvetica" w:hAnsi="Helvetica" w:cs="Helvetica"/>
                <w:color w:val="0070C0"/>
                <w:sz w:val="22"/>
                <w:szCs w:val="22"/>
              </w:rPr>
              <w:t>210.000.000</w:t>
            </w:r>
            <w:r w:rsidRPr="00E7144A">
              <w:rPr>
                <w:rFonts w:ascii="Helvetica" w:hAnsi="Helvetica" w:cs="Helvetica"/>
                <w:color w:val="0070C0"/>
                <w:sz w:val="22"/>
                <w:szCs w:val="22"/>
              </w:rPr>
              <w:t>,- HUF értéket.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0E7AE97F"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61508D">
              <w:rPr>
                <w:rFonts w:ascii="Helvetica" w:hAnsi="Helvetica" w:cs="Helvetica"/>
                <w:color w:val="0070C0"/>
                <w:sz w:val="21"/>
                <w:szCs w:val="21"/>
                <w:shd w:val="clear" w:color="auto" w:fill="FFFFFF"/>
              </w:rPr>
              <w:t xml:space="preserve">, amennyiben a </w:t>
            </w:r>
            <w:r w:rsidR="0061508D">
              <w:rPr>
                <w:rFonts w:ascii="Helvetica" w:hAnsi="Helvetica" w:cs="Helvetica"/>
                <w:color w:val="0070C0"/>
                <w:sz w:val="21"/>
                <w:szCs w:val="21"/>
                <w:shd w:val="clear" w:color="auto" w:fill="FFFFFF"/>
              </w:rPr>
              <w:lastRenderedPageBreak/>
              <w:t>szakember nem rendelkezik jogosultsággal</w:t>
            </w:r>
            <w:r w:rsidRPr="00CD0E39">
              <w:rPr>
                <w:rFonts w:ascii="Helvetica" w:hAnsi="Helvetica" w:cs="Helvetica"/>
                <w:color w:val="0070C0"/>
                <w:sz w:val="21"/>
                <w:szCs w:val="21"/>
                <w:shd w:val="clear" w:color="auto" w:fill="FFFFFF"/>
              </w:rPr>
              <w:t>.</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nyilatkozat arra vonatkozóan, hogy a teljesítés az </w:t>
            </w:r>
            <w:r w:rsidRPr="00BE1968">
              <w:rPr>
                <w:rFonts w:ascii="Helvetica" w:hAnsi="Helvetica" w:cs="Helvetica"/>
                <w:color w:val="336699"/>
                <w:sz w:val="21"/>
                <w:szCs w:val="21"/>
                <w:shd w:val="clear" w:color="auto" w:fill="FFFFFF"/>
              </w:rPr>
              <w:lastRenderedPageBreak/>
              <w:t>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5306E730" w14:textId="10C647A0" w:rsidR="006F55C1" w:rsidRDefault="0000154B" w:rsidP="003B0504">
            <w:pPr>
              <w:pStyle w:val="Nincstrkz"/>
              <w:jc w:val="both"/>
              <w:rPr>
                <w:rStyle w:val="highlighted"/>
                <w:rFonts w:ascii="Helvetica" w:hAnsi="Helvetica" w:cs="Helvetica"/>
                <w:color w:val="2E74B5" w:themeColor="accent1" w:themeShade="BF"/>
                <w:sz w:val="22"/>
                <w:szCs w:val="22"/>
              </w:rPr>
            </w:pPr>
            <w:r w:rsidRPr="003B0504">
              <w:rPr>
                <w:rFonts w:ascii="Helvetica" w:hAnsi="Helvetica" w:cs="Helvetica"/>
                <w:color w:val="336699"/>
                <w:sz w:val="22"/>
                <w:szCs w:val="22"/>
                <w:shd w:val="clear" w:color="auto" w:fill="FFFFFF"/>
              </w:rPr>
              <w:t>M/1.</w:t>
            </w:r>
            <w:r w:rsidR="006F55C1">
              <w:rPr>
                <w:rFonts w:ascii="Helvetica" w:hAnsi="Helvetica" w:cs="Helvetica"/>
                <w:color w:val="336699"/>
                <w:sz w:val="22"/>
                <w:szCs w:val="22"/>
                <w:shd w:val="clear" w:color="auto" w:fill="FFFFFF"/>
              </w:rPr>
              <w:t>1.</w:t>
            </w:r>
            <w:r w:rsidRPr="003B0504">
              <w:rPr>
                <w:rFonts w:ascii="Helvetica" w:hAnsi="Helvetica" w:cs="Helvetica"/>
                <w:color w:val="336699"/>
                <w:sz w:val="22"/>
                <w:szCs w:val="22"/>
                <w:shd w:val="clear" w:color="auto" w:fill="FFFFFF"/>
              </w:rPr>
              <w:t xml:space="preserve"> </w:t>
            </w:r>
            <w:r w:rsidR="003B0504" w:rsidRPr="003B0504">
              <w:rPr>
                <w:rFonts w:ascii="Helvetica" w:hAnsi="Helvetica" w:cs="Helvetica"/>
                <w:color w:val="336699"/>
                <w:sz w:val="22"/>
                <w:szCs w:val="22"/>
                <w:shd w:val="clear" w:color="auto" w:fill="FFFFFF"/>
              </w:rPr>
              <w:t>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000C2C6C" w:rsidRPr="003B0504">
              <w:rPr>
                <w:rStyle w:val="highlighted"/>
                <w:rFonts w:ascii="Helvetica" w:hAnsi="Helvetica" w:cs="Helvetica"/>
                <w:color w:val="2E74B5" w:themeColor="accent1" w:themeShade="BF"/>
                <w:sz w:val="22"/>
                <w:szCs w:val="22"/>
              </w:rPr>
              <w:t xml:space="preserve"> </w:t>
            </w:r>
          </w:p>
          <w:p w14:paraId="21B68E8F" w14:textId="7387B7B9" w:rsidR="006F55C1" w:rsidRDefault="006F55C1" w:rsidP="003B0504">
            <w:pPr>
              <w:pStyle w:val="Nincstrkz"/>
              <w:jc w:val="both"/>
              <w:rPr>
                <w:rStyle w:val="highlighted"/>
              </w:rPr>
            </w:pPr>
          </w:p>
          <w:p w14:paraId="4C0543B5" w14:textId="77777777" w:rsidR="006F55C1" w:rsidRPr="006F55C1" w:rsidRDefault="006F55C1" w:rsidP="006F55C1">
            <w:pPr>
              <w:jc w:val="both"/>
              <w:rPr>
                <w:rFonts w:ascii="Helvetica" w:hAnsi="Helvetica" w:cs="Helvetica"/>
                <w:color w:val="0070C0"/>
                <w:sz w:val="22"/>
                <w:szCs w:val="22"/>
                <w:shd w:val="clear" w:color="auto" w:fill="FFFFFF"/>
              </w:rPr>
            </w:pPr>
            <w:r w:rsidRPr="006F55C1">
              <w:rPr>
                <w:rStyle w:val="highlighted"/>
                <w:rFonts w:ascii="Helvetica" w:hAnsi="Helvetica" w:cs="Helvetica"/>
                <w:color w:val="0070C0"/>
                <w:sz w:val="22"/>
                <w:szCs w:val="22"/>
              </w:rPr>
              <w:t xml:space="preserve">M/1.2. </w:t>
            </w:r>
            <w:r w:rsidRPr="006F55C1">
              <w:rPr>
                <w:rFonts w:ascii="Helvetica" w:hAnsi="Helvetica" w:cs="Helvetica"/>
                <w:color w:val="0070C0"/>
                <w:sz w:val="22"/>
                <w:szCs w:val="22"/>
                <w:shd w:val="clear" w:color="auto" w:fill="FFFFFF"/>
              </w:rPr>
              <w:t xml:space="preserve">legalább 1 fő szakemberrel, aki a 266/2013. (VII. 11.) Korm. rendelet 1. melléklet / VI. Felelős műszaki vezetés 3. rész 2. pontjában előírt MV-KÉ jelölésű (közlekedési építmények szakterület: </w:t>
            </w:r>
          </w:p>
          <w:p w14:paraId="01034E93" w14:textId="77777777" w:rsidR="006F55C1" w:rsidRPr="006F55C1" w:rsidRDefault="006F55C1" w:rsidP="006F55C1">
            <w:pPr>
              <w:pStyle w:val="Nincstrkz"/>
              <w:jc w:val="both"/>
              <w:rPr>
                <w:color w:val="0070C0"/>
              </w:rPr>
            </w:pPr>
            <w:r w:rsidRPr="006F55C1">
              <w:rPr>
                <w:rStyle w:val="highlighted"/>
                <w:rFonts w:ascii="Helvetica" w:hAnsi="Helvetica" w:cs="Helvetica"/>
                <w:color w:val="0070C0"/>
                <w:sz w:val="22"/>
                <w:szCs w:val="22"/>
              </w:rPr>
              <w:t>Közlekedési építmények és az azokhoz szerkezetileg vagy funkcionálisan kapcsolódó építményrészek, mérnöki létesítmények – az 1. részbe tartozó építmények kivételével – építés-szerelési munkáinak felelős műszaki vezetése.</w:t>
            </w:r>
            <w:r w:rsidRPr="006F55C1">
              <w:rPr>
                <w:rFonts w:ascii="Helvetica" w:hAnsi="Helvetica" w:cs="Helvetica"/>
                <w:color w:val="0070C0"/>
                <w:sz w:val="22"/>
                <w:szCs w:val="22"/>
              </w:rPr>
              <w:br/>
            </w:r>
            <w:proofErr w:type="gramStart"/>
            <w:r w:rsidRPr="006F55C1">
              <w:rPr>
                <w:rStyle w:val="highlighted"/>
                <w:rFonts w:ascii="Helvetica" w:hAnsi="Helvetica" w:cs="Helvetica"/>
                <w:color w:val="0070C0"/>
                <w:sz w:val="22"/>
                <w:szCs w:val="22"/>
              </w:rPr>
              <w:t xml:space="preserve">Az alábbi építmények építés-szerelési  </w:t>
            </w:r>
            <w:r w:rsidRPr="006F55C1">
              <w:rPr>
                <w:rStyle w:val="highlighted"/>
                <w:rFonts w:ascii="Helvetica" w:hAnsi="Helvetica" w:cs="Helvetica"/>
                <w:color w:val="0070C0"/>
                <w:sz w:val="22"/>
                <w:szCs w:val="22"/>
              </w:rPr>
              <w:lastRenderedPageBreak/>
              <w:t>munkáinak felelős műszaki vezetése korlátozás nélkül:</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a) út, kerékpárút, gyalogosút, térburkolat,</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b) vasút, földalatti vasút, sikló, függőpálya, sífelvonó,</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c) repülőtér, kikötő,</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d) az a)–c) pontban meghatározott építmények műtárgyai (híd, áteresz, alagút, aluljáró, támfal stb.),</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e) az a)–c) pontban meghatározott építmények berendezései, tartozékai, zajvédelmi létesítményei és vízelvezetése a befogadóig</w:t>
            </w:r>
            <w:r w:rsidRPr="006F55C1">
              <w:rPr>
                <w:rFonts w:ascii="Helvetica" w:hAnsi="Helvetica" w:cs="Helvetica"/>
                <w:color w:val="0070C0"/>
                <w:sz w:val="22"/>
                <w:szCs w:val="22"/>
                <w:shd w:val="clear" w:color="auto" w:fill="FFFFFF"/>
              </w:rPr>
              <w:t>) jogosultsággal, vagy azzal egyenértékű jogosultsággal, vagy a jogosultság megszerzéséhez szükséges végzettséggel illetve képzettséggel vagy ezzel egyenértékű</w:t>
            </w:r>
            <w:proofErr w:type="gramEnd"/>
            <w:r w:rsidRPr="006F55C1">
              <w:rPr>
                <w:rFonts w:ascii="Helvetica" w:hAnsi="Helvetica" w:cs="Helvetica"/>
                <w:color w:val="0070C0"/>
                <w:sz w:val="22"/>
                <w:szCs w:val="22"/>
                <w:shd w:val="clear" w:color="auto" w:fill="FFFFFF"/>
              </w:rPr>
              <w:t xml:space="preserve"> végzettséggel/képzettséggel és szakmai gyakorlattal rendelkezik;</w:t>
            </w:r>
          </w:p>
          <w:p w14:paraId="38A021C1" w14:textId="76EA0C61" w:rsidR="006F55C1" w:rsidRPr="006F55C1" w:rsidRDefault="006F55C1" w:rsidP="003B0504">
            <w:pPr>
              <w:pStyle w:val="Nincstrkz"/>
              <w:jc w:val="both"/>
              <w:rPr>
                <w:rFonts w:ascii="Helvetica" w:hAnsi="Helvetica" w:cs="Helvetica"/>
                <w:color w:val="2E74B5" w:themeColor="accent1" w:themeShade="BF"/>
                <w:sz w:val="22"/>
                <w:szCs w:val="22"/>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6CA5F487"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35A2C6F8" w14:textId="40B7EF89" w:rsidR="006F55C1" w:rsidRDefault="006F55C1" w:rsidP="00576979">
            <w:pPr>
              <w:jc w:val="both"/>
              <w:rPr>
                <w:rFonts w:ascii="Helvetica" w:hAnsi="Helvetica" w:cs="Helvetica"/>
                <w:color w:val="336699"/>
                <w:sz w:val="21"/>
                <w:szCs w:val="21"/>
                <w:shd w:val="clear" w:color="auto" w:fill="FFFFFF"/>
              </w:rPr>
            </w:pPr>
          </w:p>
          <w:p w14:paraId="6B6D33A2" w14:textId="14A3B0AF" w:rsidR="006F55C1" w:rsidRPr="00E23216" w:rsidRDefault="006F55C1" w:rsidP="00576979">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A szakemberek közötti átfedés megengedett. </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66BDE18B"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w:t>
            </w:r>
            <w:r w:rsidRPr="00E23216">
              <w:rPr>
                <w:rFonts w:ascii="Helvetica" w:hAnsi="Helvetica" w:cs="Helvetica"/>
                <w:color w:val="336699"/>
                <w:sz w:val="21"/>
                <w:szCs w:val="21"/>
                <w:shd w:val="clear" w:color="auto" w:fill="FFFFFF"/>
              </w:rPr>
              <w:lastRenderedPageBreak/>
              <w:t>írásbeli összegezésben megjelölte.</w:t>
            </w:r>
          </w:p>
          <w:p w14:paraId="1D8285A3" w14:textId="334D8686" w:rsidR="006F55C1" w:rsidRDefault="006F55C1" w:rsidP="00576979">
            <w:pPr>
              <w:jc w:val="both"/>
              <w:rPr>
                <w:rFonts w:ascii="Helvetica" w:hAnsi="Helvetica" w:cs="Helvetica"/>
                <w:color w:val="336699"/>
                <w:sz w:val="21"/>
                <w:szCs w:val="21"/>
                <w:shd w:val="clear" w:color="auto" w:fill="FFFFFF"/>
              </w:rPr>
            </w:pPr>
          </w:p>
          <w:p w14:paraId="09AAD6F2" w14:textId="5C19C29A" w:rsidR="003B0504" w:rsidRDefault="006F55C1" w:rsidP="00BE1968">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M/1.3. </w:t>
            </w:r>
            <w:r w:rsidRPr="00E7144A">
              <w:rPr>
                <w:rFonts w:ascii="Helvetica" w:hAnsi="Helvetica" w:cs="Helvetica"/>
                <w:color w:val="336699"/>
                <w:sz w:val="21"/>
                <w:szCs w:val="21"/>
                <w:shd w:val="clear" w:color="auto" w:fill="FFFFFF"/>
              </w:rPr>
              <w:t xml:space="preserve">legalább 1 fő szakemberrel, aki min. 3 db min. </w:t>
            </w:r>
            <w:r w:rsidR="00F13200" w:rsidRPr="00E7144A">
              <w:rPr>
                <w:rFonts w:ascii="Helvetica" w:hAnsi="Helvetica" w:cs="Helvetica"/>
                <w:color w:val="336699"/>
                <w:sz w:val="21"/>
                <w:szCs w:val="21"/>
                <w:shd w:val="clear" w:color="auto" w:fill="FFFFFF"/>
              </w:rPr>
              <w:t xml:space="preserve">3 méter magas </w:t>
            </w:r>
            <w:r w:rsidRPr="00E7144A">
              <w:rPr>
                <w:rFonts w:ascii="Helvetica" w:hAnsi="Helvetica" w:cs="Helvetica"/>
                <w:color w:val="336699"/>
                <w:sz w:val="21"/>
                <w:szCs w:val="21"/>
                <w:shd w:val="clear" w:color="auto" w:fill="FFFFFF"/>
              </w:rPr>
              <w:t xml:space="preserve">10 méter </w:t>
            </w:r>
            <w:r w:rsidR="000F5216" w:rsidRPr="00E7144A">
              <w:rPr>
                <w:rFonts w:ascii="Helvetica" w:hAnsi="Helvetica" w:cs="Helvetica"/>
                <w:color w:val="336699"/>
                <w:sz w:val="21"/>
                <w:szCs w:val="21"/>
                <w:shd w:val="clear" w:color="auto" w:fill="FFFFFF"/>
              </w:rPr>
              <w:t>hosszú</w:t>
            </w:r>
            <w:r w:rsidRPr="00E7144A">
              <w:rPr>
                <w:rFonts w:ascii="Helvetica" w:hAnsi="Helvetica" w:cs="Helvetica"/>
                <w:color w:val="336699"/>
                <w:sz w:val="21"/>
                <w:szCs w:val="21"/>
                <w:shd w:val="clear" w:color="auto" w:fill="FFFFFF"/>
              </w:rPr>
              <w:t xml:space="preserve"> zöldfal építésben szerzett</w:t>
            </w:r>
            <w:r>
              <w:rPr>
                <w:rFonts w:ascii="Helvetica" w:hAnsi="Helvetica" w:cs="Helvetica"/>
                <w:color w:val="336699"/>
                <w:sz w:val="21"/>
                <w:szCs w:val="21"/>
                <w:shd w:val="clear" w:color="auto" w:fill="FFFFFF"/>
              </w:rPr>
              <w:t xml:space="preserve"> szakmai gyakorlattal rendelkezik. </w:t>
            </w:r>
          </w:p>
          <w:p w14:paraId="2108D681" w14:textId="77777777" w:rsidR="003B0504" w:rsidRDefault="003B0504" w:rsidP="00BE1968">
            <w:pPr>
              <w:jc w:val="both"/>
              <w:rPr>
                <w:rFonts w:ascii="Helvetica" w:hAnsi="Helvetica" w:cs="Helvetica"/>
                <w:color w:val="336699"/>
                <w:sz w:val="21"/>
                <w:szCs w:val="21"/>
                <w:shd w:val="clear" w:color="auto" w:fill="FFFFFF"/>
              </w:rPr>
            </w:pPr>
          </w:p>
          <w:p w14:paraId="7548F23F" w14:textId="77777777" w:rsidR="006F55C1" w:rsidRDefault="0000154B" w:rsidP="003B0504">
            <w:pPr>
              <w:jc w:val="both"/>
              <w:rPr>
                <w:rFonts w:ascii="Helvetica" w:hAnsi="Helvetica" w:cs="Helvetica"/>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w:t>
            </w:r>
          </w:p>
          <w:p w14:paraId="5CC255AB" w14:textId="4553916F" w:rsidR="0000154B" w:rsidRPr="00E7144A" w:rsidRDefault="006F55C1" w:rsidP="003B0504">
            <w:pPr>
              <w:jc w:val="both"/>
              <w:rPr>
                <w:rFonts w:ascii="Helvetica" w:hAnsi="Helvetica" w:cs="Helvetica"/>
                <w:color w:val="336699"/>
                <w:sz w:val="22"/>
                <w:szCs w:val="22"/>
                <w:shd w:val="clear" w:color="auto" w:fill="FFFFFF"/>
              </w:rPr>
            </w:pPr>
            <w:r>
              <w:rPr>
                <w:rFonts w:ascii="Helvetica" w:hAnsi="Helvetica" w:cs="Helvetica"/>
                <w:color w:val="336699"/>
                <w:sz w:val="22"/>
                <w:szCs w:val="22"/>
                <w:shd w:val="clear" w:color="auto" w:fill="FFFFFF"/>
              </w:rPr>
              <w:t xml:space="preserve">a) </w:t>
            </w:r>
            <w:r w:rsidR="003B0504" w:rsidRPr="003B0504">
              <w:rPr>
                <w:rFonts w:ascii="Helvetica" w:hAnsi="Helvetica" w:cs="Helvetica"/>
                <w:color w:val="336699"/>
                <w:sz w:val="22"/>
                <w:szCs w:val="22"/>
                <w:shd w:val="clear" w:color="auto" w:fill="FFFFFF"/>
              </w:rPr>
              <w:t xml:space="preserve">legalább 1 db épület </w:t>
            </w:r>
            <w:r w:rsidR="00F60917">
              <w:rPr>
                <w:rFonts w:ascii="Helvetica" w:hAnsi="Helvetica" w:cs="Helvetica"/>
                <w:color w:val="336699"/>
                <w:sz w:val="22"/>
                <w:szCs w:val="22"/>
                <w:shd w:val="clear" w:color="auto" w:fill="FFFFFF"/>
              </w:rPr>
              <w:t xml:space="preserve">építésére ÉS/VAGY bővítésére ÉS/VAGY </w:t>
            </w:r>
            <w:r w:rsidR="003B0504" w:rsidRPr="003B0504">
              <w:rPr>
                <w:rFonts w:ascii="Helvetica" w:hAnsi="Helvetica" w:cs="Helvetica"/>
                <w:color w:val="336699"/>
                <w:sz w:val="22"/>
                <w:szCs w:val="22"/>
                <w:shd w:val="clear" w:color="auto" w:fill="FFFFFF"/>
              </w:rPr>
              <w:t xml:space="preserve">felújítására ÉS/VAGY </w:t>
            </w:r>
            <w:r w:rsidR="00F60917">
              <w:rPr>
                <w:rFonts w:ascii="Helvetica" w:hAnsi="Helvetica" w:cs="Helvetica"/>
                <w:color w:val="336699"/>
                <w:sz w:val="22"/>
                <w:szCs w:val="22"/>
                <w:shd w:val="clear" w:color="auto" w:fill="FFFFFF"/>
              </w:rPr>
              <w:t>átalakítására</w:t>
            </w:r>
            <w:r w:rsidR="003B0504" w:rsidRPr="003B0504">
              <w:rPr>
                <w:rFonts w:ascii="Helvetica" w:hAnsi="Helvetica" w:cs="Helvetica"/>
                <w:color w:val="336699"/>
                <w:sz w:val="22"/>
                <w:szCs w:val="22"/>
                <w:shd w:val="clear" w:color="auto" w:fill="FFFFFF"/>
              </w:rPr>
              <w:t xml:space="preserve"> vonatkozó, sikeres műszaki átadás-átvétellel befejezett referenciával, ahol a</w:t>
            </w:r>
            <w:r w:rsidR="00F60917">
              <w:rPr>
                <w:rFonts w:ascii="Helvetica" w:hAnsi="Helvetica" w:cs="Helvetica"/>
                <w:color w:val="336699"/>
                <w:sz w:val="22"/>
                <w:szCs w:val="22"/>
                <w:shd w:val="clear" w:color="auto" w:fill="FFFFFF"/>
              </w:rPr>
              <w:t>z építés/</w:t>
            </w:r>
            <w:r w:rsidR="003B0504" w:rsidRPr="00E7144A">
              <w:rPr>
                <w:rFonts w:ascii="Helvetica" w:hAnsi="Helvetica" w:cs="Helvetica"/>
                <w:color w:val="336699"/>
                <w:sz w:val="22"/>
                <w:szCs w:val="22"/>
                <w:shd w:val="clear" w:color="auto" w:fill="FFFFFF"/>
              </w:rPr>
              <w:t>bővítés/felújítás/</w:t>
            </w:r>
            <w:r w:rsidR="00F60917" w:rsidRPr="00E7144A">
              <w:rPr>
                <w:rFonts w:ascii="Helvetica" w:hAnsi="Helvetica" w:cs="Helvetica"/>
                <w:color w:val="336699"/>
                <w:sz w:val="22"/>
                <w:szCs w:val="22"/>
                <w:shd w:val="clear" w:color="auto" w:fill="FFFFFF"/>
              </w:rPr>
              <w:t>átalakítása</w:t>
            </w:r>
            <w:r w:rsidR="003B0504" w:rsidRPr="00E7144A">
              <w:rPr>
                <w:rFonts w:ascii="Helvetica" w:hAnsi="Helvetica" w:cs="Helvetica"/>
                <w:color w:val="336699"/>
                <w:sz w:val="22"/>
                <w:szCs w:val="22"/>
                <w:shd w:val="clear" w:color="auto" w:fill="FFFFFF"/>
              </w:rPr>
              <w:t xml:space="preserve"> mértéke elérte </w:t>
            </w:r>
            <w:proofErr w:type="gramStart"/>
            <w:r w:rsidR="003B0504" w:rsidRPr="00E7144A">
              <w:rPr>
                <w:rFonts w:ascii="Helvetica" w:hAnsi="Helvetica" w:cs="Helvetica"/>
                <w:color w:val="336699"/>
                <w:sz w:val="22"/>
                <w:szCs w:val="22"/>
                <w:shd w:val="clear" w:color="auto" w:fill="FFFFFF"/>
              </w:rPr>
              <w:t>a</w:t>
            </w:r>
            <w:proofErr w:type="gramEnd"/>
            <w:r w:rsidR="003B0504" w:rsidRPr="00E7144A">
              <w:rPr>
                <w:rFonts w:ascii="Helvetica" w:hAnsi="Helvetica" w:cs="Helvetica"/>
                <w:color w:val="336699"/>
                <w:sz w:val="22"/>
                <w:szCs w:val="22"/>
                <w:shd w:val="clear" w:color="auto" w:fill="FFFFFF"/>
              </w:rPr>
              <w:t xml:space="preserve"> </w:t>
            </w:r>
            <w:r w:rsidR="000F5216" w:rsidRPr="00E7144A">
              <w:rPr>
                <w:rFonts w:ascii="Helvetica" w:hAnsi="Helvetica" w:cs="Helvetica"/>
                <w:color w:val="336699"/>
                <w:sz w:val="22"/>
                <w:szCs w:val="22"/>
                <w:shd w:val="clear" w:color="auto" w:fill="FFFFFF"/>
              </w:rPr>
              <w:t>500</w:t>
            </w:r>
            <w:r w:rsidR="003B0504" w:rsidRPr="00E7144A">
              <w:rPr>
                <w:rFonts w:ascii="Helvetica" w:hAnsi="Helvetica" w:cs="Helvetica"/>
                <w:color w:val="336699"/>
                <w:sz w:val="22"/>
                <w:szCs w:val="22"/>
                <w:shd w:val="clear" w:color="auto" w:fill="FFFFFF"/>
              </w:rPr>
              <w:t xml:space="preserve"> m</w:t>
            </w:r>
            <w:r w:rsidR="006257C2" w:rsidRPr="00E7144A">
              <w:rPr>
                <w:rFonts w:ascii="Helvetica" w:hAnsi="Helvetica" w:cs="Helvetica"/>
                <w:color w:val="336699"/>
                <w:sz w:val="22"/>
                <w:szCs w:val="22"/>
                <w:shd w:val="clear" w:color="auto" w:fill="FFFFFF"/>
                <w:vertAlign w:val="superscript"/>
              </w:rPr>
              <w:t>2</w:t>
            </w:r>
            <w:r w:rsidR="006257C2" w:rsidRPr="00E7144A">
              <w:rPr>
                <w:rFonts w:ascii="Helvetica" w:hAnsi="Helvetica" w:cs="Helvetica"/>
                <w:color w:val="336699"/>
                <w:sz w:val="22"/>
                <w:szCs w:val="22"/>
                <w:shd w:val="clear" w:color="auto" w:fill="FFFFFF"/>
              </w:rPr>
              <w:t xml:space="preserve"> </w:t>
            </w:r>
            <w:r w:rsidR="003B0504" w:rsidRPr="00E7144A">
              <w:rPr>
                <w:rFonts w:ascii="Helvetica" w:hAnsi="Helvetica" w:cs="Helvetica"/>
                <w:color w:val="336699"/>
                <w:sz w:val="22"/>
                <w:szCs w:val="22"/>
                <w:shd w:val="clear" w:color="auto" w:fill="FFFFFF"/>
              </w:rPr>
              <w:t>hasznos alapterületet.</w:t>
            </w:r>
          </w:p>
          <w:p w14:paraId="7805D8FC" w14:textId="00BB75DF" w:rsidR="006F55C1" w:rsidRDefault="006F55C1" w:rsidP="003B0504">
            <w:pPr>
              <w:jc w:val="both"/>
              <w:rPr>
                <w:rFonts w:ascii="Garamond" w:hAnsi="Garamond"/>
                <w:color w:val="336699"/>
                <w:sz w:val="22"/>
                <w:szCs w:val="22"/>
                <w:shd w:val="clear" w:color="auto" w:fill="FFFFFF"/>
              </w:rPr>
            </w:pPr>
            <w:r w:rsidRPr="00E7144A">
              <w:rPr>
                <w:rFonts w:ascii="Helvetica" w:hAnsi="Helvetica" w:cs="Helvetica"/>
                <w:color w:val="336699"/>
                <w:sz w:val="22"/>
                <w:szCs w:val="22"/>
                <w:shd w:val="clear" w:color="auto" w:fill="FFFFFF"/>
              </w:rPr>
              <w:t xml:space="preserve">b) legalább </w:t>
            </w:r>
            <w:r w:rsidR="00694087" w:rsidRPr="00E7144A">
              <w:rPr>
                <w:rFonts w:ascii="Helvetica" w:hAnsi="Helvetica" w:cs="Helvetica"/>
                <w:color w:val="336699"/>
                <w:sz w:val="22"/>
                <w:szCs w:val="22"/>
                <w:shd w:val="clear" w:color="auto" w:fill="FFFFFF"/>
              </w:rPr>
              <w:t>4</w:t>
            </w:r>
            <w:r w:rsidRPr="00E7144A">
              <w:rPr>
                <w:rFonts w:ascii="Helvetica" w:hAnsi="Helvetica" w:cs="Helvetica"/>
                <w:color w:val="336699"/>
                <w:sz w:val="22"/>
                <w:szCs w:val="22"/>
                <w:shd w:val="clear" w:color="auto" w:fill="FFFFFF"/>
              </w:rPr>
              <w:t>000 m</w:t>
            </w:r>
            <w:r w:rsidR="00E7144A" w:rsidRPr="00E7144A">
              <w:rPr>
                <w:rFonts w:ascii="Helvetica" w:hAnsi="Helvetica" w:cs="Helvetica"/>
                <w:color w:val="336699"/>
                <w:sz w:val="22"/>
                <w:szCs w:val="22"/>
                <w:shd w:val="clear" w:color="auto" w:fill="FFFFFF"/>
                <w:vertAlign w:val="superscript"/>
              </w:rPr>
              <w:t>2</w:t>
            </w:r>
            <w:r w:rsidRPr="00E7144A">
              <w:rPr>
                <w:rFonts w:ascii="Helvetica" w:hAnsi="Helvetica" w:cs="Helvetica"/>
                <w:color w:val="336699"/>
                <w:sz w:val="22"/>
                <w:szCs w:val="22"/>
                <w:shd w:val="clear" w:color="auto" w:fill="FFFFFF"/>
              </w:rPr>
              <w:t xml:space="preserve"> zöldfelület</w:t>
            </w:r>
            <w:r w:rsidR="00694087" w:rsidRPr="00E7144A">
              <w:rPr>
                <w:rFonts w:ascii="Helvetica" w:hAnsi="Helvetica" w:cs="Helvetica"/>
                <w:color w:val="336699"/>
                <w:sz w:val="22"/>
                <w:szCs w:val="22"/>
                <w:shd w:val="clear" w:color="auto" w:fill="FFFFFF"/>
              </w:rPr>
              <w:t>, parképítés</w:t>
            </w:r>
            <w:r w:rsidRPr="00E7144A">
              <w:rPr>
                <w:rFonts w:ascii="Helvetica" w:hAnsi="Helvetica" w:cs="Helvetica"/>
                <w:color w:val="336699"/>
                <w:sz w:val="22"/>
                <w:szCs w:val="22"/>
                <w:shd w:val="clear" w:color="auto" w:fill="FFFFFF"/>
              </w:rPr>
              <w:t xml:space="preserve"> építésére </w:t>
            </w:r>
            <w:proofErr w:type="gramStart"/>
            <w:r w:rsidRPr="00E7144A">
              <w:rPr>
                <w:rFonts w:ascii="Helvetica" w:hAnsi="Helvetica" w:cs="Helvetica"/>
                <w:color w:val="336699"/>
                <w:sz w:val="22"/>
                <w:szCs w:val="22"/>
                <w:shd w:val="clear" w:color="auto" w:fill="FFFFFF"/>
              </w:rPr>
              <w:t>ÉS</w:t>
            </w:r>
            <w:proofErr w:type="gramEnd"/>
            <w:r w:rsidRPr="00E7144A">
              <w:rPr>
                <w:rFonts w:ascii="Helvetica" w:hAnsi="Helvetica" w:cs="Helvetica"/>
                <w:color w:val="336699"/>
                <w:sz w:val="22"/>
                <w:szCs w:val="22"/>
                <w:shd w:val="clear" w:color="auto" w:fill="FFFFFF"/>
              </w:rPr>
              <w:t>/VAGY felújítására vonatkozó, sikeres műszaki átadás-átvétellel befejezett referenciával.</w:t>
            </w:r>
            <w:r>
              <w:rPr>
                <w:rFonts w:ascii="Helvetica" w:hAnsi="Helvetica" w:cs="Helvetica"/>
                <w:color w:val="336699"/>
                <w:sz w:val="22"/>
                <w:szCs w:val="22"/>
                <w:shd w:val="clear" w:color="auto" w:fill="FFFFFF"/>
              </w:rPr>
              <w:t xml:space="preserve"> </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62AD7691" w14:textId="4AE904C6" w:rsidR="00934821" w:rsidRPr="006F55C1" w:rsidRDefault="0000154B" w:rsidP="006F55C1">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w:t>
            </w:r>
            <w:r w:rsidR="006F55C1">
              <w:rPr>
                <w:rFonts w:ascii="Helvetica" w:eastAsiaTheme="minorEastAsia" w:hAnsi="Helvetica" w:cs="Helvetica"/>
                <w:color w:val="336699"/>
                <w:sz w:val="21"/>
                <w:szCs w:val="21"/>
                <w:shd w:val="clear" w:color="auto" w:fill="FFFFFF"/>
              </w:rPr>
              <w:t>ák</w:t>
            </w:r>
            <w:r w:rsidRPr="00E23216">
              <w:rPr>
                <w:rFonts w:ascii="Helvetica" w:eastAsiaTheme="minorEastAsia" w:hAnsi="Helvetica" w:cs="Helvetica"/>
                <w:color w:val="336699"/>
                <w:sz w:val="21"/>
                <w:szCs w:val="21"/>
                <w:shd w:val="clear" w:color="auto" w:fill="FFFFFF"/>
              </w:rPr>
              <w:t xml:space="preserve"> több szerződéssel is teljesíthető</w:t>
            </w:r>
            <w:r w:rsidR="006F55C1">
              <w:rPr>
                <w:rFonts w:ascii="Helvetica" w:eastAsiaTheme="minorEastAsia" w:hAnsi="Helvetica" w:cs="Helvetica"/>
                <w:color w:val="336699"/>
                <w:sz w:val="21"/>
                <w:szCs w:val="21"/>
                <w:shd w:val="clear" w:color="auto" w:fill="FFFFFF"/>
              </w:rPr>
              <w:t>ek</w:t>
            </w:r>
            <w:r w:rsidRPr="00E23216">
              <w:rPr>
                <w:rFonts w:ascii="Helvetica" w:eastAsiaTheme="minorEastAsia" w:hAnsi="Helvetica" w:cs="Helvetica"/>
                <w:color w:val="336699"/>
                <w:sz w:val="21"/>
                <w:szCs w:val="21"/>
                <w:shd w:val="clear" w:color="auto" w:fill="FFFFFF"/>
              </w:rPr>
              <w:t>.</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sidRPr="00DF7563">
              <w:rPr>
                <w:rFonts w:ascii="Garamond" w:hAnsi="Garamond"/>
                <w:sz w:val="22"/>
                <w:szCs w:val="22"/>
              </w:rPr>
              <w:t>X</w:t>
            </w:r>
            <w:r w:rsidRPr="00DF7563">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24911FD9"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w:t>
            </w:r>
            <w:r w:rsidR="009257F7">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9257F7">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A kötbéralap meghatározását a szerződéstervezet tartalmazza. A </w:t>
            </w:r>
            <w:r w:rsidR="009257F7">
              <w:rPr>
                <w:rFonts w:ascii="Helvetica" w:hAnsi="Helvetica" w:cs="Helvetica"/>
                <w:color w:val="336699"/>
                <w:sz w:val="21"/>
                <w:szCs w:val="21"/>
                <w:shd w:val="clear" w:color="auto" w:fill="FFFFFF"/>
              </w:rPr>
              <w:t>3</w:t>
            </w:r>
            <w:r w:rsidR="00E8112F" w:rsidRPr="00A46FA3">
              <w:rPr>
                <w:rFonts w:ascii="Helvetica" w:hAnsi="Helvetica" w:cs="Helvetica"/>
                <w:color w:val="336699"/>
                <w:sz w:val="21"/>
                <w:szCs w:val="21"/>
                <w:shd w:val="clear" w:color="auto" w:fill="FFFFFF"/>
              </w:rPr>
              <w:t>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C6C30E0"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9257F7">
              <w:rPr>
                <w:color w:val="0070C0"/>
                <w:sz w:val="22"/>
                <w:szCs w:val="22"/>
                <w:shd w:val="clear" w:color="auto" w:fill="FFFFFF"/>
              </w:rPr>
              <w:t>0,5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w:t>
            </w:r>
            <w:r w:rsidR="009257F7">
              <w:rPr>
                <w:color w:val="0070C0"/>
                <w:sz w:val="22"/>
                <w:szCs w:val="22"/>
                <w:shd w:val="clear" w:color="auto" w:fill="FFFFFF"/>
              </w:rPr>
              <w:t>15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w:t>
            </w:r>
            <w:r w:rsidRPr="00967AB4">
              <w:rPr>
                <w:rFonts w:ascii="Helvetica" w:eastAsiaTheme="minorEastAsia" w:hAnsi="Helvetica" w:cs="Helvetica"/>
                <w:color w:val="336699"/>
                <w:sz w:val="21"/>
                <w:szCs w:val="21"/>
                <w:shd w:val="clear" w:color="auto" w:fill="FFFFFF"/>
                <w:lang w:eastAsia="hu-HU"/>
              </w:rPr>
              <w:lastRenderedPageBreak/>
              <w:t>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1BE2494B" w:rsidR="0000154B" w:rsidRPr="00DB59EC" w:rsidRDefault="0000154B" w:rsidP="0000154B">
            <w:pPr>
              <w:pStyle w:val="BodyText21"/>
              <w:rPr>
                <w:rFonts w:eastAsiaTheme="minorEastAsia"/>
                <w:color w:val="2E74B5" w:themeColor="accent1" w:themeShade="BF"/>
                <w:sz w:val="22"/>
                <w:szCs w:val="22"/>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6</w:t>
            </w:r>
            <w:r w:rsidR="008F21FF">
              <w:rPr>
                <w:rFonts w:ascii="Helvetica" w:eastAsiaTheme="minorEastAsia" w:hAnsi="Helvetica" w:cs="Helvetica"/>
                <w:color w:val="336699"/>
                <w:sz w:val="21"/>
                <w:szCs w:val="21"/>
                <w:shd w:val="clear" w:color="auto" w:fill="FFFFFF"/>
                <w:lang w:eastAsia="hu-HU"/>
              </w:rPr>
              <w:t xml:space="preserve">0 </w:t>
            </w:r>
            <w:r w:rsidRPr="00967AB4">
              <w:rPr>
                <w:rFonts w:ascii="Helvetica" w:eastAsiaTheme="minorEastAsia" w:hAnsi="Helvetica" w:cs="Helvetica"/>
                <w:color w:val="336699"/>
                <w:sz w:val="21"/>
                <w:szCs w:val="21"/>
                <w:shd w:val="clear" w:color="auto" w:fill="FFFFFF"/>
                <w:lang w:eastAsia="hu-HU"/>
              </w:rPr>
              <w:t>hónap</w:t>
            </w:r>
            <w:r w:rsidR="00E8112F">
              <w:rPr>
                <w:rFonts w:ascii="Helvetica" w:eastAsiaTheme="minorEastAsia" w:hAnsi="Helvetica" w:cs="Helvetica"/>
                <w:color w:val="336699"/>
                <w:sz w:val="21"/>
                <w:szCs w:val="21"/>
                <w:shd w:val="clear" w:color="auto" w:fill="FFFFFF"/>
                <w:lang w:eastAsia="hu-HU"/>
              </w:rPr>
              <w:t xml:space="preserve"> </w:t>
            </w:r>
            <w:r w:rsidR="00FF2237" w:rsidRPr="00E7144A">
              <w:rPr>
                <w:rFonts w:ascii="Helvetica" w:eastAsiaTheme="minorEastAsia" w:hAnsi="Helvetica" w:cs="Helvetica"/>
                <w:color w:val="2E74B5" w:themeColor="accent1" w:themeShade="BF"/>
                <w:sz w:val="21"/>
                <w:szCs w:val="21"/>
                <w:shd w:val="clear" w:color="auto" w:fill="FFFFFF"/>
                <w:lang w:eastAsia="hu-HU"/>
              </w:rPr>
              <w:t>(</w:t>
            </w:r>
            <w:r w:rsidR="00FF2237" w:rsidRPr="00E7144A">
              <w:rPr>
                <w:color w:val="2E74B5" w:themeColor="accent1" w:themeShade="BF"/>
                <w:sz w:val="24"/>
                <w:szCs w:val="24"/>
              </w:rPr>
              <w:t>projekten belül terek kialakítása, Találkozások háza kávéz</w:t>
            </w:r>
            <w:r w:rsidR="00DB59EC" w:rsidRPr="00E7144A">
              <w:rPr>
                <w:color w:val="2E74B5" w:themeColor="accent1" w:themeShade="BF"/>
                <w:sz w:val="24"/>
                <w:szCs w:val="24"/>
              </w:rPr>
              <w:t>ó</w:t>
            </w:r>
            <w:r w:rsidR="00FF2237" w:rsidRPr="00E7144A">
              <w:rPr>
                <w:color w:val="2E74B5" w:themeColor="accent1" w:themeShade="BF"/>
                <w:sz w:val="24"/>
                <w:szCs w:val="24"/>
              </w:rPr>
              <w:t xml:space="preserve"> kialakítása -, mint közhasználatú építmények </w:t>
            </w:r>
            <w:r w:rsidR="00FF2237" w:rsidRPr="00E7144A">
              <w:rPr>
                <w:color w:val="2E74B5" w:themeColor="accent1" w:themeShade="BF"/>
                <w:sz w:val="24"/>
                <w:szCs w:val="24"/>
                <w:shd w:val="clear" w:color="auto" w:fill="FFFFFF"/>
              </w:rPr>
              <w:t>meghatározott épületszerkezeteire és az azok létrehozásánál felhasznált egyes termékeire és anyagaira</w:t>
            </w:r>
            <w:r w:rsidR="00E8112F" w:rsidRPr="00E7144A">
              <w:rPr>
                <w:rFonts w:ascii="Helvetica" w:hAnsi="Helvetica" w:cs="Helvetica"/>
                <w:color w:val="2E74B5" w:themeColor="accent1" w:themeShade="BF"/>
                <w:sz w:val="21"/>
                <w:szCs w:val="21"/>
                <w:shd w:val="clear" w:color="auto" w:fill="FFFFFF"/>
              </w:rPr>
              <w:t>)</w:t>
            </w:r>
            <w:r w:rsidRPr="00E7144A">
              <w:rPr>
                <w:rFonts w:ascii="Helvetica" w:eastAsiaTheme="minorEastAsia" w:hAnsi="Helvetica" w:cs="Helvetica"/>
                <w:color w:val="2E74B5" w:themeColor="accent1" w:themeShade="BF"/>
                <w:sz w:val="21"/>
                <w:szCs w:val="21"/>
                <w:shd w:val="clear" w:color="auto" w:fill="FFFFFF"/>
                <w:lang w:eastAsia="hu-HU"/>
              </w:rPr>
              <w:t xml:space="preserve">, </w:t>
            </w:r>
            <w:r w:rsidR="00FF2237" w:rsidRPr="00E7144A">
              <w:rPr>
                <w:rFonts w:eastAsiaTheme="minorEastAsia"/>
                <w:color w:val="2E74B5" w:themeColor="accent1" w:themeShade="BF"/>
                <w:sz w:val="22"/>
                <w:szCs w:val="22"/>
                <w:shd w:val="clear" w:color="auto" w:fill="FFFFFF"/>
                <w:lang w:eastAsia="hu-HU"/>
              </w:rPr>
              <w:t>valamint 36 hónap (</w:t>
            </w:r>
            <w:r w:rsidR="00FF2237" w:rsidRPr="00E7144A">
              <w:rPr>
                <w:color w:val="2E74B5" w:themeColor="accent1" w:themeShade="BF"/>
                <w:sz w:val="22"/>
                <w:szCs w:val="22"/>
              </w:rPr>
              <w:t>Találkozások háza</w:t>
            </w:r>
            <w:r w:rsidR="00FF2237" w:rsidRPr="00E7144A">
              <w:rPr>
                <w:b/>
                <w:color w:val="2E74B5" w:themeColor="accent1" w:themeShade="BF"/>
                <w:sz w:val="22"/>
                <w:szCs w:val="22"/>
              </w:rPr>
              <w:t xml:space="preserve"> </w:t>
            </w:r>
            <w:r w:rsidR="00FF2237" w:rsidRPr="00E7144A">
              <w:rPr>
                <w:color w:val="2E74B5" w:themeColor="accent1" w:themeShade="BF"/>
                <w:sz w:val="22"/>
                <w:szCs w:val="22"/>
                <w:shd w:val="clear" w:color="auto" w:fill="FFFFFF"/>
              </w:rPr>
              <w:t>felújítási munkálataira)</w:t>
            </w:r>
            <w:r w:rsidR="00FF2237" w:rsidRPr="00E7144A">
              <w:rPr>
                <w:rFonts w:eastAsiaTheme="minorEastAsia"/>
                <w:color w:val="2E74B5" w:themeColor="accent1" w:themeShade="BF"/>
                <w:sz w:val="22"/>
                <w:szCs w:val="22"/>
                <w:shd w:val="clear" w:color="auto" w:fill="FFFFFF"/>
                <w:lang w:eastAsia="hu-HU"/>
              </w:rPr>
              <w:t xml:space="preserve"> </w:t>
            </w:r>
            <w:r w:rsidRPr="00E7144A">
              <w:rPr>
                <w:rFonts w:eastAsiaTheme="minorEastAsia"/>
                <w:color w:val="2E74B5" w:themeColor="accent1" w:themeShade="BF"/>
                <w:sz w:val="22"/>
                <w:szCs w:val="22"/>
                <w:shd w:val="clear" w:color="auto" w:fill="FFFFFF"/>
                <w:lang w:eastAsia="hu-HU"/>
              </w:rPr>
              <w:t>szerződés</w:t>
            </w:r>
            <w:r w:rsidR="00E8112F" w:rsidRPr="00E7144A">
              <w:rPr>
                <w:rFonts w:eastAsiaTheme="minorEastAsia"/>
                <w:color w:val="2E74B5" w:themeColor="accent1" w:themeShade="BF"/>
                <w:sz w:val="22"/>
                <w:szCs w:val="22"/>
                <w:shd w:val="clear" w:color="auto" w:fill="FFFFFF"/>
                <w:lang w:eastAsia="hu-HU"/>
              </w:rPr>
              <w:t>-</w:t>
            </w:r>
            <w:r w:rsidRPr="00E7144A">
              <w:rPr>
                <w:rFonts w:eastAsiaTheme="minorEastAsia"/>
                <w:color w:val="2E74B5" w:themeColor="accent1" w:themeShade="BF"/>
                <w:sz w:val="22"/>
                <w:szCs w:val="22"/>
                <w:shd w:val="clear" w:color="auto" w:fill="FFFFFF"/>
                <w:lang w:eastAsia="hu-HU"/>
              </w:rPr>
              <w:t>terv</w:t>
            </w:r>
            <w:r w:rsidR="00A4268F" w:rsidRPr="00E7144A">
              <w:rPr>
                <w:rFonts w:eastAsiaTheme="minorEastAsia"/>
                <w:color w:val="2E74B5" w:themeColor="accent1" w:themeShade="BF"/>
                <w:sz w:val="22"/>
                <w:szCs w:val="22"/>
                <w:shd w:val="clear" w:color="auto" w:fill="FFFFFF"/>
                <w:lang w:eastAsia="hu-HU"/>
              </w:rPr>
              <w:t>ezetben részletezettek szerint</w:t>
            </w:r>
            <w:r w:rsidRPr="00E7144A">
              <w:rPr>
                <w:rFonts w:eastAsiaTheme="minorEastAsia"/>
                <w:color w:val="2E74B5" w:themeColor="accent1" w:themeShade="BF"/>
                <w:sz w:val="22"/>
                <w:szCs w:val="22"/>
                <w:shd w:val="clear" w:color="auto" w:fill="FFFFFF"/>
                <w:lang w:eastAsia="hu-HU"/>
              </w:rPr>
              <w:t>.</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51C50DE7"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w:t>
            </w:r>
            <w:r w:rsidR="00332B87">
              <w:rPr>
                <w:color w:val="0070C0"/>
                <w:sz w:val="22"/>
                <w:szCs w:val="22"/>
              </w:rPr>
              <w:t>1</w:t>
            </w:r>
            <w:r w:rsidRPr="00010565">
              <w:rPr>
                <w:color w:val="0070C0"/>
                <w:sz w:val="22"/>
                <w:szCs w:val="22"/>
              </w:rPr>
              <w:t xml:space="preserve">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089E477E"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00332B87" w:rsidRPr="00332B87">
              <w:rPr>
                <w:color w:val="0070C0"/>
                <w:sz w:val="22"/>
                <w:szCs w:val="22"/>
              </w:rPr>
              <w:t>2,</w:t>
            </w:r>
            <w:r w:rsidRPr="00332B87">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01ABDE61"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704A8F" w:rsidRPr="000D76B1">
              <w:rPr>
                <w:color w:val="0070C0"/>
                <w:shd w:val="clear" w:color="auto" w:fill="FFFFFF"/>
              </w:rPr>
              <w:t>TOP_PLUSZ-1.2.1-21-SB1-2022-00006</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62BECED0" w:rsidR="0000154B" w:rsidRPr="00E7144A" w:rsidRDefault="0000154B" w:rsidP="00EB7A1F">
            <w:pPr>
              <w:jc w:val="both"/>
              <w:outlineLvl w:val="0"/>
              <w:rPr>
                <w:color w:val="0070C0"/>
                <w:sz w:val="22"/>
                <w:szCs w:val="22"/>
                <w:shd w:val="clear" w:color="auto" w:fill="FFFFFF"/>
              </w:rPr>
            </w:pPr>
            <w:r w:rsidRPr="00E7144A">
              <w:rPr>
                <w:color w:val="0070C0"/>
                <w:sz w:val="22"/>
                <w:szCs w:val="22"/>
                <w:shd w:val="clear" w:color="auto" w:fill="FFFFFF"/>
              </w:rPr>
              <w:t xml:space="preserve">Előleg: Ajánlatkérő a szerződésben foglalt </w:t>
            </w:r>
            <w:r w:rsidR="00FC0393" w:rsidRPr="00E7144A">
              <w:rPr>
                <w:color w:val="0070C0"/>
                <w:sz w:val="22"/>
                <w:szCs w:val="22"/>
                <w:shd w:val="clear" w:color="auto" w:fill="FFFFFF"/>
              </w:rPr>
              <w:t xml:space="preserve">- </w:t>
            </w:r>
            <w:r w:rsidRPr="00E7144A">
              <w:rPr>
                <w:color w:val="0070C0"/>
                <w:sz w:val="22"/>
                <w:szCs w:val="22"/>
                <w:shd w:val="clear" w:color="auto" w:fill="FFFFFF"/>
              </w:rPr>
              <w:t xml:space="preserve">általános forgalmi adó nélkül számított - teljes ellenszolgáltatás </w:t>
            </w:r>
            <w:r w:rsidR="00F13200" w:rsidRPr="00E7144A">
              <w:rPr>
                <w:color w:val="0070C0"/>
                <w:sz w:val="22"/>
                <w:szCs w:val="22"/>
                <w:shd w:val="clear" w:color="auto" w:fill="FFFFFF"/>
              </w:rPr>
              <w:t>10</w:t>
            </w:r>
            <w:r w:rsidR="00CF15A4" w:rsidRPr="00E7144A">
              <w:rPr>
                <w:color w:val="0070C0"/>
                <w:sz w:val="22"/>
                <w:szCs w:val="22"/>
                <w:shd w:val="clear" w:color="auto" w:fill="FFFFFF"/>
              </w:rPr>
              <w:t xml:space="preserve"> </w:t>
            </w:r>
            <w:r w:rsidRPr="00E7144A">
              <w:rPr>
                <w:color w:val="0070C0"/>
                <w:sz w:val="22"/>
                <w:szCs w:val="22"/>
                <w:shd w:val="clear" w:color="auto" w:fill="FFFFFF"/>
              </w:rPr>
              <w:t xml:space="preserve">%-ának megfelelő összeg, mint előleg igénybevételének lehetőségét biztosítja. </w:t>
            </w:r>
          </w:p>
          <w:p w14:paraId="557AB4B5" w14:textId="77777777" w:rsidR="0000154B" w:rsidRPr="00E7144A" w:rsidRDefault="0000154B" w:rsidP="0000154B">
            <w:pPr>
              <w:outlineLvl w:val="0"/>
              <w:rPr>
                <w:color w:val="0070C0"/>
                <w:sz w:val="22"/>
                <w:szCs w:val="22"/>
                <w:shd w:val="clear" w:color="auto" w:fill="FFFFFF"/>
              </w:rPr>
            </w:pPr>
          </w:p>
          <w:p w14:paraId="5F73580C" w14:textId="425E91EA" w:rsidR="0000154B" w:rsidRPr="00E7144A" w:rsidRDefault="0000154B" w:rsidP="0039320C">
            <w:pPr>
              <w:jc w:val="both"/>
              <w:outlineLvl w:val="0"/>
              <w:rPr>
                <w:color w:val="0070C0"/>
                <w:sz w:val="22"/>
                <w:szCs w:val="22"/>
                <w:shd w:val="clear" w:color="auto" w:fill="FFFFFF"/>
              </w:rPr>
            </w:pPr>
            <w:r w:rsidRPr="00E7144A">
              <w:rPr>
                <w:color w:val="0070C0"/>
                <w:sz w:val="22"/>
                <w:szCs w:val="22"/>
                <w:shd w:val="clear" w:color="auto" w:fill="FFFFFF"/>
              </w:rPr>
              <w:t>Fizetési ütemezés:</w:t>
            </w:r>
          </w:p>
          <w:p w14:paraId="749F3117" w14:textId="3F56A874"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a) előlegszámla: a nettó Vállalkozói Díj </w:t>
            </w:r>
            <w:r w:rsidR="00D25119" w:rsidRPr="00E7144A">
              <w:rPr>
                <w:color w:val="0070C0"/>
                <w:sz w:val="22"/>
                <w:szCs w:val="22"/>
                <w:shd w:val="clear" w:color="auto" w:fill="FFFFFF"/>
              </w:rPr>
              <w:t>10</w:t>
            </w:r>
            <w:r w:rsidRPr="00E7144A">
              <w:rPr>
                <w:color w:val="0070C0"/>
                <w:sz w:val="22"/>
                <w:szCs w:val="22"/>
                <w:shd w:val="clear" w:color="auto" w:fill="FFFFFF"/>
              </w:rPr>
              <w:t xml:space="preserve"> %-</w:t>
            </w:r>
            <w:proofErr w:type="gramStart"/>
            <w:r w:rsidRPr="00E7144A">
              <w:rPr>
                <w:color w:val="0070C0"/>
                <w:sz w:val="22"/>
                <w:szCs w:val="22"/>
                <w:shd w:val="clear" w:color="auto" w:fill="FFFFFF"/>
              </w:rPr>
              <w:t>a</w:t>
            </w:r>
            <w:proofErr w:type="gramEnd"/>
            <w:r w:rsidRPr="00E7144A">
              <w:rPr>
                <w:color w:val="0070C0"/>
                <w:sz w:val="22"/>
                <w:szCs w:val="22"/>
                <w:shd w:val="clear" w:color="auto" w:fill="FFFFFF"/>
              </w:rPr>
              <w:t xml:space="preserve">, </w:t>
            </w:r>
          </w:p>
          <w:p w14:paraId="4C07CCCD" w14:textId="53227F9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b) 1. részszámla: </w:t>
            </w:r>
            <w:r w:rsidR="00010565" w:rsidRPr="00E7144A">
              <w:rPr>
                <w:color w:val="0070C0"/>
                <w:sz w:val="22"/>
                <w:szCs w:val="22"/>
                <w:shd w:val="clear" w:color="auto" w:fill="FFFFFF"/>
              </w:rPr>
              <w:t>15</w:t>
            </w:r>
            <w:r w:rsidRPr="00E7144A">
              <w:rPr>
                <w:color w:val="0070C0"/>
                <w:sz w:val="22"/>
                <w:szCs w:val="22"/>
                <w:shd w:val="clear" w:color="auto" w:fill="FFFFFF"/>
              </w:rPr>
              <w:t xml:space="preserve"> </w:t>
            </w:r>
            <w:r w:rsidR="00010565" w:rsidRPr="00E7144A">
              <w:rPr>
                <w:color w:val="0070C0"/>
                <w:sz w:val="22"/>
                <w:szCs w:val="22"/>
                <w:shd w:val="clear" w:color="auto" w:fill="FFFFFF"/>
              </w:rPr>
              <w:t>%-os készültségi fok elérése</w:t>
            </w:r>
            <w:r w:rsidR="00346D73" w:rsidRPr="00E7144A">
              <w:rPr>
                <w:color w:val="0070C0"/>
                <w:sz w:val="22"/>
                <w:szCs w:val="22"/>
                <w:shd w:val="clear" w:color="auto" w:fill="FFFFFF"/>
              </w:rPr>
              <w:t xml:space="preserve"> után</w:t>
            </w:r>
            <w:r w:rsidR="00010565" w:rsidRPr="00E7144A">
              <w:rPr>
                <w:color w:val="0070C0"/>
                <w:sz w:val="22"/>
                <w:szCs w:val="22"/>
                <w:shd w:val="clear" w:color="auto" w:fill="FFFFFF"/>
              </w:rPr>
              <w:t xml:space="preserve">; </w:t>
            </w:r>
          </w:p>
          <w:p w14:paraId="4923D88A" w14:textId="6D867ACE"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c) </w:t>
            </w:r>
            <w:r w:rsidR="00010565" w:rsidRPr="00E7144A">
              <w:rPr>
                <w:color w:val="0070C0"/>
                <w:sz w:val="22"/>
                <w:szCs w:val="22"/>
                <w:shd w:val="clear" w:color="auto" w:fill="FFFFFF"/>
              </w:rPr>
              <w:t>2. részszámla: 35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70FB387A" w14:textId="5B2229B2"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d) </w:t>
            </w:r>
            <w:r w:rsidR="00010565" w:rsidRPr="00E7144A">
              <w:rPr>
                <w:color w:val="0070C0"/>
                <w:sz w:val="22"/>
                <w:szCs w:val="22"/>
                <w:shd w:val="clear" w:color="auto" w:fill="FFFFFF"/>
              </w:rPr>
              <w:t>3. részszámla: 55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6B85DD57" w14:textId="48A66B0E"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e) </w:t>
            </w:r>
            <w:r w:rsidR="00010565" w:rsidRPr="00E7144A">
              <w:rPr>
                <w:color w:val="0070C0"/>
                <w:sz w:val="22"/>
                <w:szCs w:val="22"/>
                <w:shd w:val="clear" w:color="auto" w:fill="FFFFFF"/>
              </w:rPr>
              <w:t>4. részszámla: 80</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65E48F59" w14:textId="76A8A5F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f) </w:t>
            </w:r>
            <w:r w:rsidR="00010565" w:rsidRPr="00E7144A">
              <w:rPr>
                <w:color w:val="0070C0"/>
                <w:sz w:val="22"/>
                <w:szCs w:val="22"/>
                <w:shd w:val="clear" w:color="auto" w:fill="FFFFFF"/>
              </w:rPr>
              <w:t xml:space="preserve">végszámla: </w:t>
            </w:r>
            <w:r w:rsidR="00A4268F" w:rsidRPr="00E7144A">
              <w:rPr>
                <w:color w:val="0070C0"/>
                <w:sz w:val="22"/>
                <w:szCs w:val="22"/>
                <w:shd w:val="clear" w:color="auto" w:fill="FFFFFF"/>
              </w:rPr>
              <w:t>10</w:t>
            </w:r>
            <w:r w:rsidR="00010565" w:rsidRPr="00E7144A">
              <w:rPr>
                <w:color w:val="0070C0"/>
                <w:sz w:val="22"/>
                <w:szCs w:val="22"/>
                <w:shd w:val="clear" w:color="auto" w:fill="FFFFFF"/>
              </w:rPr>
              <w:t>0</w:t>
            </w:r>
            <w:r w:rsidRPr="00E7144A">
              <w:rPr>
                <w:color w:val="0070C0"/>
                <w:sz w:val="22"/>
                <w:szCs w:val="22"/>
                <w:shd w:val="clear" w:color="auto" w:fill="FFFFFF"/>
              </w:rPr>
              <w:t xml:space="preserve"> </w:t>
            </w:r>
            <w:r w:rsidR="00010565" w:rsidRPr="00E7144A">
              <w:rPr>
                <w:color w:val="0070C0"/>
                <w:sz w:val="22"/>
                <w:szCs w:val="22"/>
                <w:shd w:val="clear" w:color="auto" w:fill="FFFFFF"/>
              </w:rPr>
              <w:t>%-</w:t>
            </w:r>
            <w:r w:rsidR="00A4268F" w:rsidRPr="00E7144A">
              <w:rPr>
                <w:color w:val="0070C0"/>
                <w:sz w:val="22"/>
                <w:szCs w:val="22"/>
                <w:shd w:val="clear" w:color="auto" w:fill="FFFFFF"/>
              </w:rPr>
              <w:t>os teljesítést követően</w:t>
            </w:r>
            <w:r w:rsidR="00010565" w:rsidRPr="00E7144A">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E7144A">
              <w:rPr>
                <w:color w:val="0070C0"/>
                <w:sz w:val="22"/>
                <w:szCs w:val="22"/>
                <w:shd w:val="clear" w:color="auto" w:fill="FFFFFF"/>
              </w:rPr>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DE15364" w:rsidR="00477E8C" w:rsidRPr="00E7144A"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gramStart"/>
            <w:r w:rsidRPr="00FD54E5">
              <w:rPr>
                <w:color w:val="0070C0"/>
                <w:sz w:val="22"/>
                <w:szCs w:val="22"/>
                <w:shd w:val="clear" w:color="auto" w:fill="FFFFFF"/>
              </w:rPr>
              <w:t>a</w:t>
            </w:r>
            <w:proofErr w:type="gramEnd"/>
            <w:r w:rsidRPr="00FD54E5">
              <w:rPr>
                <w:color w:val="0070C0"/>
                <w:sz w:val="22"/>
                <w:szCs w:val="22"/>
                <w:shd w:val="clear" w:color="auto" w:fill="FFFFFF"/>
              </w:rPr>
              <w:t xml:space="preserve"> alapján a jelen közbeszerzési eljárás tárgyát képező munkákra </w:t>
            </w:r>
            <w:r w:rsidRPr="00E7144A">
              <w:rPr>
                <w:color w:val="0070C0"/>
                <w:sz w:val="22"/>
                <w:szCs w:val="22"/>
                <w:shd w:val="clear" w:color="auto" w:fill="FFFFFF"/>
              </w:rPr>
              <w:t xml:space="preserve">vonatkozóan legkésőbb a szerződéskötés időpontjára </w:t>
            </w:r>
            <w:r w:rsidR="00BC071F" w:rsidRPr="00BC071F">
              <w:rPr>
                <w:color w:val="0070C0"/>
                <w:sz w:val="22"/>
                <w:szCs w:val="22"/>
                <w:shd w:val="clear" w:color="auto" w:fill="FFFFFF"/>
              </w:rPr>
              <w:t>– vagy a szerződésben meghatározott, a szerződés hatálybalépését követő, de a felelősségbiztosítással érintett tevékenység megkezdését megelőző időpontig –</w:t>
            </w:r>
            <w:r w:rsidR="00BC071F" w:rsidRPr="00BC071F">
              <w:rPr>
                <w:rFonts w:ascii="Fira Sans" w:hAnsi="Fira Sans"/>
                <w:color w:val="0070C0"/>
                <w:sz w:val="27"/>
                <w:szCs w:val="27"/>
                <w:shd w:val="clear" w:color="auto" w:fill="FFFFFF"/>
              </w:rPr>
              <w:t xml:space="preserve"> </w:t>
            </w:r>
            <w:r w:rsidRPr="00E7144A">
              <w:rPr>
                <w:color w:val="0070C0"/>
                <w:sz w:val="22"/>
                <w:szCs w:val="22"/>
                <w:shd w:val="clear" w:color="auto" w:fill="FFFFFF"/>
              </w:rPr>
              <w:t xml:space="preserve">köteles a szerződés teljes időtartamára legalább </w:t>
            </w:r>
            <w:r w:rsidR="00A705DD" w:rsidRPr="00E7144A">
              <w:rPr>
                <w:color w:val="0070C0"/>
                <w:sz w:val="22"/>
                <w:szCs w:val="22"/>
                <w:shd w:val="clear" w:color="auto" w:fill="FFFFFF"/>
              </w:rPr>
              <w:t>140.000.000</w:t>
            </w:r>
            <w:r w:rsidRPr="00E7144A">
              <w:rPr>
                <w:color w:val="0070C0"/>
                <w:sz w:val="22"/>
                <w:szCs w:val="22"/>
                <w:shd w:val="clear" w:color="auto" w:fill="FFFFFF"/>
              </w:rPr>
              <w:t xml:space="preserve">,- Ft összegű káreseményenkénti és </w:t>
            </w:r>
            <w:r w:rsidR="00A705DD" w:rsidRPr="00E7144A">
              <w:rPr>
                <w:color w:val="0070C0"/>
                <w:sz w:val="22"/>
                <w:szCs w:val="22"/>
                <w:shd w:val="clear" w:color="auto" w:fill="FFFFFF"/>
              </w:rPr>
              <w:t>280.000.000</w:t>
            </w:r>
            <w:r w:rsidR="004674B3" w:rsidRPr="00E7144A">
              <w:rPr>
                <w:color w:val="0070C0"/>
                <w:sz w:val="22"/>
                <w:szCs w:val="22"/>
                <w:shd w:val="clear" w:color="auto" w:fill="FFFFFF"/>
              </w:rPr>
              <w:t>,-</w:t>
            </w:r>
            <w:r w:rsidRPr="00E7144A">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E7144A"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E7144A">
              <w:rPr>
                <w:color w:val="0070C0"/>
                <w:sz w:val="22"/>
                <w:szCs w:val="22"/>
                <w:shd w:val="clear" w:color="auto" w:fill="FFFFFF"/>
              </w:rPr>
              <w:t>1</w:t>
            </w:r>
            <w:r w:rsidR="009C155E" w:rsidRPr="00E7144A">
              <w:rPr>
                <w:color w:val="0070C0"/>
                <w:sz w:val="22"/>
                <w:szCs w:val="22"/>
                <w:shd w:val="clear" w:color="auto" w:fill="FFFFFF"/>
              </w:rPr>
              <w:t>7</w:t>
            </w:r>
            <w:r w:rsidR="00477E8C" w:rsidRPr="00E7144A">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E7144A">
              <w:rPr>
                <w:color w:val="0070C0"/>
                <w:sz w:val="22"/>
                <w:szCs w:val="22"/>
                <w:shd w:val="clear" w:color="auto" w:fill="FFFFFF"/>
              </w:rPr>
              <w:t>bek</w:t>
            </w:r>
            <w:proofErr w:type="spellEnd"/>
            <w:r w:rsidR="00477E8C" w:rsidRPr="00E7144A">
              <w:rPr>
                <w:color w:val="0070C0"/>
                <w:sz w:val="22"/>
                <w:szCs w:val="22"/>
                <w:shd w:val="clear" w:color="auto" w:fill="FFFFFF"/>
              </w:rPr>
              <w:t xml:space="preserve"> alapján a fordítások esetén AT általi magyar fordítást fogad el. A fordítás</w:t>
            </w:r>
            <w:r w:rsidR="00477E8C" w:rsidRPr="00FD54E5">
              <w:rPr>
                <w:color w:val="0070C0"/>
                <w:sz w:val="22"/>
                <w:szCs w:val="22"/>
                <w:shd w:val="clear" w:color="auto" w:fill="FFFFFF"/>
              </w:rPr>
              <w:t xml:space="preserve">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7BBBE355" w14:textId="77777777" w:rsidR="00806F62" w:rsidRDefault="00806F62" w:rsidP="00806F62">
            <w:pPr>
              <w:ind w:right="56"/>
              <w:jc w:val="both"/>
              <w:rPr>
                <w:rFonts w:eastAsia="DejaVuSerif"/>
                <w:color w:val="0070C0"/>
              </w:rPr>
            </w:pPr>
            <w:r w:rsidRPr="005D7561">
              <w:rPr>
                <w:color w:val="0070C0"/>
                <w:shd w:val="clear" w:color="auto" w:fill="FFFFFF"/>
              </w:rPr>
              <w:lastRenderedPageBreak/>
              <w:t xml:space="preserve">21. </w:t>
            </w:r>
            <w:r w:rsidRPr="005D7561">
              <w:rPr>
                <w:rFonts w:eastAsia="DejaVuSerif"/>
                <w:color w:val="0070C0"/>
              </w:rPr>
              <w:t>Ajánlatkérő GDPR rendelet alapján tájékoztatja Ajánlattevőket, hogy az eljárás keretében a gazdasági szereplők személyes adatait a jogszabályokban meghatározott feladatok ellátása és a közbeszerzési eljárás lefolytatása céljából és határidőig kezeli.</w:t>
            </w:r>
          </w:p>
          <w:p w14:paraId="720D2D8F" w14:textId="77777777" w:rsidR="00806F62" w:rsidRDefault="00806F62" w:rsidP="00806F62">
            <w:pPr>
              <w:ind w:right="56"/>
              <w:jc w:val="both"/>
              <w:rPr>
                <w:rFonts w:eastAsia="DejaVuSerif"/>
                <w:color w:val="0070C0"/>
              </w:rPr>
            </w:pPr>
          </w:p>
          <w:p w14:paraId="7E99C68C" w14:textId="2B824651" w:rsidR="00806F62" w:rsidRDefault="00806F62" w:rsidP="00806F62">
            <w:pPr>
              <w:ind w:right="56"/>
              <w:jc w:val="both"/>
              <w:rPr>
                <w:color w:val="0070C0"/>
                <w:shd w:val="clear" w:color="auto" w:fill="FFFFFF"/>
              </w:rPr>
            </w:pPr>
            <w:r>
              <w:rPr>
                <w:rFonts w:eastAsia="DejaVuSerif"/>
                <w:color w:val="0070C0"/>
              </w:rPr>
              <w:t xml:space="preserve">22. </w:t>
            </w:r>
            <w:r w:rsidRPr="005D7561">
              <w:rPr>
                <w:color w:val="0070C0"/>
                <w:shd w:val="clear" w:color="auto" w:fill="FFFFFF"/>
              </w:rPr>
              <w:t>Ajánlatkérő tájékoztatja az ajánlattevőket, hogy a jelen eljárást a Kbt. 53. § (6) bekezdése alapján feltételes közbeszerzési eljárásként indítja meg, figyelemmel arra, hogy többlet-támogatási igényt nyújt be abban az esetben, ha a rendelkezésre álló anyagi fedezet összege nem elegendő. A szerződés hatályba lépésének feltétele a többlet-támogatásról rendelkező Támogatási Szerződés módosításának hatályba lépése, az Ajánlatkérő által kért tartalommal.</w:t>
            </w:r>
          </w:p>
          <w:p w14:paraId="3FD05F94" w14:textId="37EF758D" w:rsidR="00806F62" w:rsidRDefault="00806F62" w:rsidP="00806F62">
            <w:pPr>
              <w:ind w:right="56"/>
              <w:jc w:val="both"/>
              <w:rPr>
                <w:color w:val="0070C0"/>
                <w:shd w:val="clear" w:color="auto" w:fill="FFFFFF"/>
              </w:rPr>
            </w:pPr>
          </w:p>
          <w:p w14:paraId="787D7251" w14:textId="4142A671" w:rsidR="00806F62" w:rsidRDefault="00806F62" w:rsidP="00806F62">
            <w:pPr>
              <w:widowControl/>
              <w:jc w:val="both"/>
              <w:rPr>
                <w:rFonts w:eastAsia="DejaVuSerif"/>
                <w:color w:val="0070C0"/>
              </w:rPr>
            </w:pPr>
            <w:r w:rsidRPr="00806F62">
              <w:rPr>
                <w:color w:val="0070C0"/>
                <w:shd w:val="clear" w:color="auto" w:fill="FFFFFF"/>
              </w:rPr>
              <w:t xml:space="preserve">23. </w:t>
            </w:r>
            <w:r w:rsidRPr="00806F62">
              <w:rPr>
                <w:rFonts w:eastAsia="DejaVuSerif"/>
                <w:color w:val="0070C0"/>
              </w:rPr>
              <w:t>Ajánlatkérő rögzíti, hogy a Kbt. 114. § (11) bekezdés előírására tekintettel azon gazdasági szereplők esetében, akik beszámoló</w:t>
            </w:r>
            <w:r>
              <w:rPr>
                <w:rFonts w:eastAsia="DejaVuSerif"/>
                <w:color w:val="0070C0"/>
              </w:rPr>
              <w:t xml:space="preserve"> </w:t>
            </w:r>
            <w:r w:rsidRPr="00806F62">
              <w:rPr>
                <w:rFonts w:eastAsia="DejaVuSerif"/>
                <w:color w:val="0070C0"/>
              </w:rPr>
              <w:t>közzétételére kötelesek, a feltételnek történő megfelelést az ebeszamolo.gov.hu oldalon ingyenesen elérhető nyilvántartás alapján</w:t>
            </w:r>
            <w:r>
              <w:rPr>
                <w:rFonts w:eastAsia="DejaVuSerif"/>
                <w:color w:val="0070C0"/>
              </w:rPr>
              <w:t xml:space="preserve"> </w:t>
            </w:r>
            <w:r w:rsidRPr="00806F62">
              <w:rPr>
                <w:rFonts w:eastAsia="DejaVuSerif"/>
                <w:color w:val="0070C0"/>
              </w:rPr>
              <w:t>ellenőrzi. Ajánlatkérő előírja, hogy abban az esetben, ha a beszámoló nem került közzétételre, Ajánlattevő/kapacitást biztosító</w:t>
            </w:r>
            <w:r>
              <w:rPr>
                <w:rFonts w:eastAsia="DejaVuSerif"/>
                <w:color w:val="0070C0"/>
              </w:rPr>
              <w:t xml:space="preserve"> </w:t>
            </w:r>
            <w:r w:rsidRPr="00806F62">
              <w:rPr>
                <w:rFonts w:eastAsia="DejaVuSerif"/>
                <w:color w:val="0070C0"/>
              </w:rPr>
              <w:t>szervezet köteles a beszámolót és/vagy a 2022. évre vonatkozó általános forgalmi adó nélkül számított árbevételéről szóló</w:t>
            </w:r>
            <w:r>
              <w:rPr>
                <w:rFonts w:eastAsia="DejaVuSerif"/>
                <w:color w:val="0070C0"/>
              </w:rPr>
              <w:t xml:space="preserve"> </w:t>
            </w:r>
            <w:r w:rsidRPr="00806F62">
              <w:rPr>
                <w:rFonts w:eastAsia="DejaVuSerif"/>
                <w:color w:val="0070C0"/>
              </w:rPr>
              <w:t>nyilatkozatot csatolni a feltétel megállapítása érdekében. Ajánlatkérő rögzíti, hogy azon gazdasági szereplők, akik nem kötelesek</w:t>
            </w:r>
            <w:r>
              <w:rPr>
                <w:rFonts w:eastAsia="DejaVuSerif"/>
                <w:color w:val="0070C0"/>
              </w:rPr>
              <w:t xml:space="preserve"> </w:t>
            </w:r>
            <w:r w:rsidRPr="00806F62">
              <w:rPr>
                <w:rFonts w:eastAsia="DejaVuSerif"/>
                <w:color w:val="0070C0"/>
              </w:rPr>
              <w:t>beszámoló közzétételére, szintén kötelesek a feltételnek történő megfelelést igazolni egyszerű</w:t>
            </w:r>
            <w:r>
              <w:rPr>
                <w:rFonts w:eastAsia="DejaVuSerif"/>
                <w:color w:val="0070C0"/>
              </w:rPr>
              <w:t xml:space="preserve"> </w:t>
            </w:r>
            <w:r w:rsidRPr="00806F62">
              <w:rPr>
                <w:rFonts w:eastAsia="DejaVuSerif"/>
                <w:color w:val="0070C0"/>
              </w:rPr>
              <w:t>árbevételi nyilatkozat becsatolásával és/vagy egyéb bevallás benyújtásával.</w:t>
            </w:r>
          </w:p>
          <w:p w14:paraId="34F80821" w14:textId="2A5CB3FB" w:rsidR="000A7D8F" w:rsidRDefault="000A7D8F" w:rsidP="00806F62">
            <w:pPr>
              <w:widowControl/>
              <w:jc w:val="both"/>
              <w:rPr>
                <w:rFonts w:eastAsia="DejaVuSerif"/>
                <w:color w:val="0070C0"/>
              </w:rPr>
            </w:pPr>
          </w:p>
          <w:p w14:paraId="744A5841" w14:textId="164D551C" w:rsidR="000A7D8F" w:rsidRPr="000A7D8F" w:rsidRDefault="000A7D8F" w:rsidP="000A7D8F">
            <w:pPr>
              <w:ind w:right="56"/>
              <w:jc w:val="both"/>
              <w:rPr>
                <w:color w:val="336699"/>
                <w:shd w:val="clear" w:color="auto" w:fill="FFFFFF"/>
              </w:rPr>
            </w:pPr>
            <w:r>
              <w:rPr>
                <w:rFonts w:eastAsia="DejaVuSerif"/>
                <w:color w:val="0070C0"/>
              </w:rPr>
              <w:t xml:space="preserve">24. </w:t>
            </w:r>
            <w:r w:rsidRPr="000A7D8F">
              <w:rPr>
                <w:color w:val="336699"/>
                <w:shd w:val="clear" w:color="auto" w:fill="FFFFFF"/>
              </w:rPr>
              <w:t xml:space="preserve">Ajánlatkérő a megvalósítás során környezetvédelmi szempontokat is kíván érvényesíteni. Az előzőek miatt Ajánlatkérő az alábbi szerződéskötési feltételeket írja elő </w:t>
            </w:r>
          </w:p>
          <w:p w14:paraId="6328B3A4" w14:textId="77777777" w:rsidR="000A7D8F" w:rsidRPr="000A7D8F" w:rsidRDefault="000A7D8F" w:rsidP="000A7D8F">
            <w:pPr>
              <w:ind w:left="56" w:right="56"/>
              <w:jc w:val="both"/>
              <w:rPr>
                <w:color w:val="336699"/>
                <w:shd w:val="clear" w:color="auto" w:fill="FFFFFF"/>
              </w:rPr>
            </w:pPr>
          </w:p>
          <w:p w14:paraId="2B808880" w14:textId="5F129143" w:rsidR="000A7D8F" w:rsidRPr="000A7D8F" w:rsidRDefault="000A7D8F" w:rsidP="000A7D8F">
            <w:pPr>
              <w:ind w:left="56" w:right="56"/>
              <w:jc w:val="both"/>
              <w:rPr>
                <w:color w:val="336699"/>
                <w:shd w:val="clear" w:color="auto" w:fill="FFFFFF"/>
              </w:rPr>
            </w:pPr>
            <w:r w:rsidRPr="000A7D8F">
              <w:rPr>
                <w:color w:val="336699"/>
                <w:shd w:val="clear" w:color="auto" w:fill="FFFFFF"/>
              </w:rPr>
              <w:t>A) Ajánlatkérő felhívja a figyelmet, hogy a nyertes ajánlattevőnek legkésőbb a szerződéskötés időpontjára rendelkeznie kell MSZ EN ISO</w:t>
            </w:r>
            <w:r>
              <w:rPr>
                <w:color w:val="336699"/>
                <w:shd w:val="clear" w:color="auto" w:fill="FFFFFF"/>
              </w:rPr>
              <w:t>9</w:t>
            </w:r>
            <w:r w:rsidRPr="000A7D8F">
              <w:rPr>
                <w:color w:val="336699"/>
                <w:shd w:val="clear" w:color="auto" w:fill="FFFFFF"/>
              </w:rPr>
              <w:t xml:space="preserve">001:2015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ISO14001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7D015BE1" w14:textId="77777777" w:rsidR="000A7D8F" w:rsidRPr="000A7D8F" w:rsidRDefault="000A7D8F" w:rsidP="000A7D8F">
            <w:pPr>
              <w:ind w:left="56" w:right="56"/>
              <w:jc w:val="both"/>
              <w:rPr>
                <w:color w:val="336699"/>
                <w:shd w:val="clear" w:color="auto" w:fill="FFFFFF"/>
              </w:rPr>
            </w:pPr>
          </w:p>
          <w:p w14:paraId="382ECE96" w14:textId="7C1AEDCB" w:rsidR="000A7D8F" w:rsidRPr="000A7D8F" w:rsidRDefault="000A7D8F" w:rsidP="000A7D8F">
            <w:pPr>
              <w:ind w:left="56" w:right="56"/>
              <w:jc w:val="both"/>
              <w:rPr>
                <w:color w:val="336699"/>
                <w:shd w:val="clear" w:color="auto" w:fill="FFFFFF"/>
              </w:rPr>
            </w:pPr>
            <w:r w:rsidRPr="000A7D8F">
              <w:rPr>
                <w:color w:val="336699"/>
                <w:shd w:val="clear" w:color="auto" w:fill="FFFFFF"/>
              </w:rPr>
              <w:t>B) Ajánlatkérő felhívja a figyelmet, hogy a nyertes ajánlattevőnek legkésőbb a szerződéskötés időpontjára rendelkeznie kell MSZ EN ISO</w:t>
            </w:r>
            <w:r>
              <w:rPr>
                <w:color w:val="336699"/>
                <w:shd w:val="clear" w:color="auto" w:fill="FFFFFF"/>
              </w:rPr>
              <w:t>1</w:t>
            </w:r>
            <w:r w:rsidRPr="000A7D8F">
              <w:rPr>
                <w:color w:val="336699"/>
                <w:shd w:val="clear" w:color="auto" w:fill="FFFFFF"/>
              </w:rPr>
              <w:t xml:space="preserve">4001:2015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ISO45001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2DF06E15" w14:textId="77777777" w:rsidR="00806F62" w:rsidRDefault="00806F62" w:rsidP="00477E8C">
            <w:pPr>
              <w:ind w:right="56"/>
              <w:rPr>
                <w:color w:val="0070C0"/>
                <w:shd w:val="clear" w:color="auto" w:fill="FFFFFF"/>
              </w:rPr>
            </w:pPr>
          </w:p>
          <w:p w14:paraId="0E9B6CBF" w14:textId="2E0CEF3C" w:rsidR="00FF4F08" w:rsidRPr="00806F62" w:rsidRDefault="004674B3" w:rsidP="00806F62">
            <w:pPr>
              <w:ind w:right="56"/>
              <w:rPr>
                <w:color w:val="0070C0"/>
                <w:shd w:val="clear" w:color="auto" w:fill="FFFFFF"/>
              </w:rPr>
            </w:pPr>
            <w:r w:rsidRPr="00FD54E5">
              <w:rPr>
                <w:color w:val="0070C0"/>
                <w:shd w:val="clear" w:color="auto" w:fill="FFFFFF"/>
              </w:rPr>
              <w:lastRenderedPageBreak/>
              <w:t>2</w:t>
            </w:r>
            <w:r w:rsidR="000A7D8F">
              <w:rPr>
                <w:color w:val="0070C0"/>
                <w:shd w:val="clear" w:color="auto" w:fill="FFFFFF"/>
              </w:rPr>
              <w:t>5</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49F3CFDB" w:rsidR="00340854" w:rsidRPr="000C1510" w:rsidRDefault="00340854" w:rsidP="00932859">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0"/>
            <w:r w:rsidRPr="0067699F">
              <w:rPr>
                <w:rFonts w:ascii="Garamond" w:hAnsi="Garamond"/>
                <w:b/>
                <w:bCs/>
                <w:sz w:val="22"/>
                <w:szCs w:val="22"/>
                <w:highlight w:val="yellow"/>
              </w:rPr>
              <w:t>határidő</w:t>
            </w:r>
            <w:commentRangeEnd w:id="0"/>
            <w:r w:rsidR="00851CA2" w:rsidRPr="0067699F">
              <w:rPr>
                <w:rStyle w:val="Jegyzethivatkozs"/>
                <w:rFonts w:ascii="Garamond" w:hAnsi="Garamond"/>
                <w:sz w:val="22"/>
                <w:szCs w:val="22"/>
                <w:highlight w:val="yellow"/>
              </w:rPr>
              <w:commentReference w:id="0"/>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060D0B">
              <w:rPr>
                <w:rFonts w:ascii="Garamond" w:hAnsi="Garamond"/>
                <w:iCs/>
                <w:color w:val="4472C4" w:themeColor="accent5"/>
                <w:sz w:val="22"/>
                <w:szCs w:val="22"/>
                <w:highlight w:val="yellow"/>
              </w:rPr>
              <w:t>23.</w:t>
            </w:r>
            <w:r w:rsidR="00932859">
              <w:rPr>
                <w:rFonts w:ascii="Garamond" w:hAnsi="Garamond"/>
                <w:iCs/>
                <w:color w:val="4472C4" w:themeColor="accent5"/>
                <w:sz w:val="22"/>
                <w:szCs w:val="22"/>
                <w:highlight w:val="yellow"/>
              </w:rPr>
              <w:t>1</w:t>
            </w:r>
            <w:r w:rsidR="00060D0B">
              <w:rPr>
                <w:rFonts w:ascii="Garamond" w:hAnsi="Garamond"/>
                <w:iCs/>
                <w:color w:val="4472C4" w:themeColor="accent5"/>
                <w:sz w:val="22"/>
                <w:szCs w:val="22"/>
                <w:highlight w:val="yellow"/>
              </w:rPr>
              <w:t>0</w:t>
            </w:r>
            <w:r w:rsidR="00932859">
              <w:rPr>
                <w:rFonts w:ascii="Garamond" w:hAnsi="Garamond"/>
                <w:iCs/>
                <w:color w:val="4472C4" w:themeColor="accent5"/>
                <w:sz w:val="22"/>
                <w:szCs w:val="22"/>
                <w:highlight w:val="yellow"/>
              </w:rPr>
              <w:t>.05</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lastRenderedPageBreak/>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32778FB"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w:t>
            </w:r>
            <w:r w:rsidR="00DB7454">
              <w:rPr>
                <w:rFonts w:ascii="Helvetica" w:hAnsi="Helvetica" w:cs="Helvetica"/>
                <w:color w:val="336699"/>
                <w:sz w:val="21"/>
                <w:szCs w:val="21"/>
                <w:shd w:val="clear" w:color="auto" w:fill="FFFFFF"/>
              </w:rPr>
              <w:t>fordított</w:t>
            </w:r>
            <w:r>
              <w:rPr>
                <w:rFonts w:ascii="Helvetica" w:hAnsi="Helvetica" w:cs="Helvetica"/>
                <w:color w:val="336699"/>
                <w:sz w:val="21"/>
                <w:szCs w:val="21"/>
                <w:shd w:val="clear" w:color="auto" w:fill="FFFFFF"/>
              </w:rPr>
              <w:t xml:space="preserve"> arányosság, 2-3. értékelési szempont: </w:t>
            </w:r>
            <w:r w:rsidR="00DB7454">
              <w:rPr>
                <w:rFonts w:ascii="Helvetica" w:hAnsi="Helvetica" w:cs="Helvetica"/>
                <w:color w:val="336699"/>
                <w:sz w:val="21"/>
                <w:szCs w:val="21"/>
                <w:shd w:val="clear" w:color="auto" w:fill="FFFFFF"/>
              </w:rPr>
              <w:t>egyenes</w:t>
            </w:r>
            <w:r>
              <w:rPr>
                <w:rFonts w:ascii="Helvetica" w:hAnsi="Helvetica" w:cs="Helvetica"/>
                <w:color w:val="336699"/>
                <w:sz w:val="21"/>
                <w:szCs w:val="21"/>
                <w:shd w:val="clear" w:color="auto" w:fill="FFFFFF"/>
              </w:rPr>
              <w:t xml:space="preserve"> arányosság.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470AD0" w14:textId="169F5331" w:rsidR="00340854" w:rsidRDefault="00340854" w:rsidP="00AB7D17">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r>
            <w:r w:rsidR="007C019D" w:rsidRPr="007C019D">
              <w:rPr>
                <w:rFonts w:ascii="Garamond" w:hAnsi="Garamond"/>
                <w:color w:val="0070C0"/>
                <w:sz w:val="22"/>
                <w:szCs w:val="22"/>
              </w:rPr>
              <w:t>X</w:t>
            </w:r>
            <w:r w:rsidRPr="00C45CDC">
              <w:rPr>
                <w:rFonts w:ascii="Garamond" w:hAnsi="Garamond"/>
                <w:sz w:val="22"/>
                <w:szCs w:val="22"/>
              </w:rPr>
              <w:t xml:space="preserve"> Az eljárásban való részvétel ajánlati biztosíték adásához kötött. </w:t>
            </w:r>
            <w:r w:rsidR="007C019D">
              <w:rPr>
                <w:rFonts w:ascii="Garamond" w:hAnsi="Garamond"/>
                <w:color w:val="0070C0"/>
                <w:sz w:val="22"/>
                <w:szCs w:val="22"/>
              </w:rPr>
              <w:t xml:space="preserve">igen </w:t>
            </w:r>
            <w:r w:rsidRPr="00C45CDC">
              <w:rPr>
                <w:rFonts w:ascii="Garamond" w:hAnsi="Garamond"/>
                <w:sz w:val="22"/>
                <w:szCs w:val="22"/>
              </w:rPr>
              <w:br/>
              <w:t>Az ajánlati biztosíték mértéke</w:t>
            </w:r>
            <w:r w:rsidRPr="00E7144A">
              <w:rPr>
                <w:rFonts w:ascii="Garamond" w:hAnsi="Garamond"/>
                <w:sz w:val="22"/>
                <w:szCs w:val="22"/>
              </w:rPr>
              <w:t>:</w:t>
            </w:r>
            <w:r w:rsidR="00B625F6" w:rsidRPr="00E7144A">
              <w:rPr>
                <w:rFonts w:ascii="Garamond" w:hAnsi="Garamond"/>
                <w:sz w:val="22"/>
                <w:szCs w:val="22"/>
              </w:rPr>
              <w:t xml:space="preserve"> </w:t>
            </w:r>
            <w:r w:rsidR="007C019D" w:rsidRPr="00E7144A">
              <w:rPr>
                <w:rFonts w:ascii="Garamond" w:hAnsi="Garamond"/>
                <w:color w:val="0070C0"/>
                <w:sz w:val="22"/>
                <w:szCs w:val="22"/>
              </w:rPr>
              <w:t>2.</w:t>
            </w:r>
            <w:r w:rsidR="00060D0B" w:rsidRPr="00E7144A">
              <w:rPr>
                <w:rFonts w:ascii="Garamond" w:hAnsi="Garamond"/>
                <w:color w:val="0070C0"/>
                <w:sz w:val="22"/>
                <w:szCs w:val="22"/>
              </w:rPr>
              <w:t>0</w:t>
            </w:r>
            <w:r w:rsidR="007C019D" w:rsidRPr="00E7144A">
              <w:rPr>
                <w:rFonts w:ascii="Garamond" w:hAnsi="Garamond"/>
                <w:color w:val="0070C0"/>
                <w:sz w:val="22"/>
                <w:szCs w:val="22"/>
              </w:rPr>
              <w:t>00.000,- Ft</w:t>
            </w:r>
            <w:r w:rsidRPr="00E7144A">
              <w:rPr>
                <w:rFonts w:ascii="Garamond" w:hAnsi="Garamond"/>
                <w:sz w:val="22"/>
                <w:szCs w:val="22"/>
              </w:rPr>
              <w:br/>
            </w:r>
            <w:proofErr w:type="gramStart"/>
            <w:r w:rsidRPr="00E7144A">
              <w:rPr>
                <w:rFonts w:ascii="Garamond" w:hAnsi="Garamond"/>
                <w:sz w:val="22"/>
                <w:szCs w:val="22"/>
              </w:rPr>
              <w:t>A</w:t>
            </w:r>
            <w:proofErr w:type="gramEnd"/>
            <w:r w:rsidRPr="00E7144A">
              <w:rPr>
                <w:rFonts w:ascii="Garamond" w:hAnsi="Garamond"/>
                <w:sz w:val="22"/>
                <w:szCs w:val="22"/>
              </w:rPr>
              <w:t xml:space="preserve"> befizetés helye: vagy az ajánlatkérő fizetési </w:t>
            </w:r>
            <w:r w:rsidR="00060D0B" w:rsidRPr="00E7144A">
              <w:rPr>
                <w:color w:val="0070C0"/>
                <w:sz w:val="20"/>
              </w:rPr>
              <w:t>1004400</w:t>
            </w:r>
            <w:bookmarkStart w:id="1" w:name="_GoBack"/>
            <w:bookmarkEnd w:id="1"/>
            <w:r w:rsidR="00060D0B" w:rsidRPr="00E7144A">
              <w:rPr>
                <w:color w:val="0070C0"/>
                <w:sz w:val="20"/>
              </w:rPr>
              <w:t>1-00345277-02020145</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4C76D808" w14:textId="77777777" w:rsidR="007C019D" w:rsidRPr="00C45CDC" w:rsidRDefault="007C019D" w:rsidP="007C019D">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Vonatkozó előírások: Kbt. 54. § és Kbt. 35. § (5)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xml:space="preserve">. </w:t>
            </w:r>
            <w:proofErr w:type="gramStart"/>
            <w:r w:rsidRPr="00C45CDC">
              <w:rPr>
                <w:rFonts w:ascii="Helvetica" w:hAnsi="Helvetica" w:cs="Helvetica"/>
                <w:color w:val="0070C0"/>
                <w:sz w:val="22"/>
                <w:szCs w:val="22"/>
              </w:rPr>
              <w:t>szerint</w:t>
            </w:r>
            <w:proofErr w:type="gramEnd"/>
            <w:r w:rsidRPr="00C45CDC">
              <w:rPr>
                <w:rFonts w:ascii="Helvetica" w:hAnsi="Helvetica" w:cs="Helvetica"/>
                <w:color w:val="0070C0"/>
                <w:sz w:val="22"/>
                <w:szCs w:val="22"/>
              </w:rPr>
              <w:t>.</w:t>
            </w:r>
          </w:p>
          <w:p w14:paraId="3C95F70E" w14:textId="064A7829" w:rsidR="007C019D" w:rsidRPr="000C1510" w:rsidRDefault="007C019D" w:rsidP="007C019D">
            <w:pPr>
              <w:widowControl/>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szerződés alapján a készfizető kezességvállalást tartalmazó kötelezvényt.</w:t>
            </w:r>
            <w:r>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Pr>
                <w:rFonts w:ascii="Helvetica" w:hAnsi="Helvetica" w:cs="Helvetica"/>
                <w:color w:val="0070C0"/>
                <w:sz w:val="22"/>
                <w:szCs w:val="22"/>
              </w:rPr>
              <w:t xml:space="preserve"> </w:t>
            </w:r>
            <w:r w:rsidRPr="00C45CDC">
              <w:rPr>
                <w:rFonts w:ascii="Helvetica" w:hAnsi="Helvetica" w:cs="Helvetica"/>
                <w:color w:val="0070C0"/>
                <w:sz w:val="22"/>
                <w:szCs w:val="22"/>
              </w:rPr>
              <w:t>követelés érvényesítésének alapjául szolgál (különösen garanciavállaló</w:t>
            </w:r>
            <w:r>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Pr>
                <w:rFonts w:ascii="Helvetica" w:hAnsi="Helvetica" w:cs="Helvetica"/>
                <w:color w:val="0070C0"/>
                <w:sz w:val="22"/>
                <w:szCs w:val="22"/>
              </w:rPr>
              <w:t xml:space="preserve"> </w:t>
            </w:r>
            <w:r w:rsidRPr="00C45CDC">
              <w:rPr>
                <w:rFonts w:ascii="Helvetica" w:hAnsi="Helvetica" w:cs="Helvetica"/>
                <w:color w:val="0070C0"/>
                <w:sz w:val="22"/>
                <w:szCs w:val="22"/>
              </w:rPr>
              <w:t>teljes bizonyító erejű magánokirat követelményeinek. (Kbt. 41/</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xml:space="preserve">. § (2)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 xml:space="preserve">Az ajánlatok felbontása: Az ajánlattételi határidőig beérkezett ajánlatok bontását az EKR automatikusan, az ajánlattételi határidő lejártát követően, kettő órával később kezdi meg. A bontás </w:t>
            </w:r>
            <w:r w:rsidR="00730EEC" w:rsidRPr="00BB419E">
              <w:rPr>
                <w:rFonts w:ascii="Helvetica" w:hAnsi="Helvetica" w:cs="Helvetica"/>
                <w:color w:val="336699"/>
                <w:sz w:val="21"/>
                <w:szCs w:val="21"/>
                <w:shd w:val="clear" w:color="auto" w:fill="FFFFFF"/>
              </w:rPr>
              <w:lastRenderedPageBreak/>
              <w:t>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xml:space="preserve">.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23-09-01T15:42:00Z" w:initials="User">
    <w:p w14:paraId="5130837F" w14:textId="0B01360E" w:rsidR="00920B6F" w:rsidRDefault="00920B6F">
      <w:pPr>
        <w:pStyle w:val="Jegyzetszveg"/>
      </w:pPr>
      <w:r>
        <w:rPr>
          <w:rStyle w:val="Jegyzethivatkozs"/>
        </w:rPr>
        <w:annotationRef/>
      </w:r>
      <w:proofErr w:type="gramStart"/>
      <w:r w:rsidR="00A4268F">
        <w:t>feladástól</w:t>
      </w:r>
      <w:proofErr w:type="gramEnd"/>
      <w:r w:rsidR="00A4268F">
        <w:t xml:space="preserve"> számított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DejaVuSerif">
    <w:altName w:val="MS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Fira Sans">
    <w:altName w:val="Arial"/>
    <w:charset w:val="00"/>
    <w:family w:val="swiss"/>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A335E61"/>
    <w:multiLevelType w:val="singleLevel"/>
    <w:tmpl w:val="F7AC4CAC"/>
    <w:lvl w:ilvl="0">
      <w:numFmt w:val="bullet"/>
      <w:lvlText w:val="-"/>
      <w:lvlJc w:val="left"/>
      <w:pPr>
        <w:tabs>
          <w:tab w:val="num" w:pos="360"/>
        </w:tabs>
        <w:ind w:left="360" w:hanging="360"/>
      </w:pPr>
    </w:lvl>
  </w:abstractNum>
  <w:abstractNum w:abstractNumId="5">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1"/>
  </w:num>
  <w:num w:numId="6">
    <w:abstractNumId w:val="0"/>
  </w:num>
  <w:num w:numId="7">
    <w:abstractNumId w:val="5"/>
  </w:num>
  <w:num w:numId="8">
    <w:abstractNumId w:val="1"/>
  </w:num>
  <w:num w:numId="9">
    <w:abstractNumId w:val="12"/>
  </w:num>
  <w:num w:numId="10">
    <w:abstractNumId w:val="9"/>
  </w:num>
  <w:num w:numId="11">
    <w:abstractNumId w:val="2"/>
  </w:num>
  <w:num w:numId="12">
    <w:abstractNumId w:val="1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24B24"/>
    <w:rsid w:val="000275DD"/>
    <w:rsid w:val="00033A6F"/>
    <w:rsid w:val="00035C53"/>
    <w:rsid w:val="00046C51"/>
    <w:rsid w:val="000472BE"/>
    <w:rsid w:val="00060D0B"/>
    <w:rsid w:val="00061EA7"/>
    <w:rsid w:val="00066224"/>
    <w:rsid w:val="00071150"/>
    <w:rsid w:val="0008067B"/>
    <w:rsid w:val="00083425"/>
    <w:rsid w:val="00094431"/>
    <w:rsid w:val="000959F7"/>
    <w:rsid w:val="000A0F6D"/>
    <w:rsid w:val="000A137C"/>
    <w:rsid w:val="000A3F7A"/>
    <w:rsid w:val="000A7D8F"/>
    <w:rsid w:val="000C1029"/>
    <w:rsid w:val="000C1510"/>
    <w:rsid w:val="000C2C6C"/>
    <w:rsid w:val="000C3B7C"/>
    <w:rsid w:val="000D76B1"/>
    <w:rsid w:val="000D76F2"/>
    <w:rsid w:val="000E302B"/>
    <w:rsid w:val="000E4348"/>
    <w:rsid w:val="000F3C5E"/>
    <w:rsid w:val="000F4098"/>
    <w:rsid w:val="000F5216"/>
    <w:rsid w:val="00103414"/>
    <w:rsid w:val="0011553A"/>
    <w:rsid w:val="0012235E"/>
    <w:rsid w:val="001253FC"/>
    <w:rsid w:val="001303BC"/>
    <w:rsid w:val="00131185"/>
    <w:rsid w:val="0013713A"/>
    <w:rsid w:val="00141270"/>
    <w:rsid w:val="00143209"/>
    <w:rsid w:val="00144651"/>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300F"/>
    <w:rsid w:val="001C69C6"/>
    <w:rsid w:val="001D611A"/>
    <w:rsid w:val="001E31C9"/>
    <w:rsid w:val="001E6DCA"/>
    <w:rsid w:val="001F225C"/>
    <w:rsid w:val="001F514A"/>
    <w:rsid w:val="001F79AB"/>
    <w:rsid w:val="00202D05"/>
    <w:rsid w:val="00211C5D"/>
    <w:rsid w:val="002125B7"/>
    <w:rsid w:val="00222CDE"/>
    <w:rsid w:val="002255A2"/>
    <w:rsid w:val="0023090B"/>
    <w:rsid w:val="00230BE1"/>
    <w:rsid w:val="00232546"/>
    <w:rsid w:val="00236562"/>
    <w:rsid w:val="00241EE9"/>
    <w:rsid w:val="00246542"/>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D34E2"/>
    <w:rsid w:val="002E038A"/>
    <w:rsid w:val="002E5769"/>
    <w:rsid w:val="002F226A"/>
    <w:rsid w:val="00314F0E"/>
    <w:rsid w:val="00316C97"/>
    <w:rsid w:val="00324BC4"/>
    <w:rsid w:val="00325D2A"/>
    <w:rsid w:val="00327337"/>
    <w:rsid w:val="00330CB9"/>
    <w:rsid w:val="00332B87"/>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A309F"/>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1BD7"/>
    <w:rsid w:val="004C4771"/>
    <w:rsid w:val="004E16BE"/>
    <w:rsid w:val="004E5F27"/>
    <w:rsid w:val="004F0778"/>
    <w:rsid w:val="004F2575"/>
    <w:rsid w:val="004F5E4E"/>
    <w:rsid w:val="00505B4B"/>
    <w:rsid w:val="00511FBE"/>
    <w:rsid w:val="00514CAD"/>
    <w:rsid w:val="0052167C"/>
    <w:rsid w:val="005377DD"/>
    <w:rsid w:val="00542DF8"/>
    <w:rsid w:val="00545E0F"/>
    <w:rsid w:val="00554D0C"/>
    <w:rsid w:val="0055532A"/>
    <w:rsid w:val="00560681"/>
    <w:rsid w:val="00566176"/>
    <w:rsid w:val="00576979"/>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739E"/>
    <w:rsid w:val="005F7D47"/>
    <w:rsid w:val="00603B9F"/>
    <w:rsid w:val="0061054B"/>
    <w:rsid w:val="00610635"/>
    <w:rsid w:val="00613DFD"/>
    <w:rsid w:val="00613EAB"/>
    <w:rsid w:val="0061508D"/>
    <w:rsid w:val="00623FAE"/>
    <w:rsid w:val="006257C2"/>
    <w:rsid w:val="00626E07"/>
    <w:rsid w:val="00627758"/>
    <w:rsid w:val="00635CD3"/>
    <w:rsid w:val="00635F33"/>
    <w:rsid w:val="00647CB1"/>
    <w:rsid w:val="00653BDB"/>
    <w:rsid w:val="00662EDF"/>
    <w:rsid w:val="00665088"/>
    <w:rsid w:val="0067699F"/>
    <w:rsid w:val="006808AE"/>
    <w:rsid w:val="00684BC0"/>
    <w:rsid w:val="00684D11"/>
    <w:rsid w:val="006922D3"/>
    <w:rsid w:val="00694087"/>
    <w:rsid w:val="006954BF"/>
    <w:rsid w:val="0069749A"/>
    <w:rsid w:val="00697BE0"/>
    <w:rsid w:val="006A524A"/>
    <w:rsid w:val="006A6537"/>
    <w:rsid w:val="006B1474"/>
    <w:rsid w:val="006B49F6"/>
    <w:rsid w:val="006B6769"/>
    <w:rsid w:val="006C64E8"/>
    <w:rsid w:val="006D0968"/>
    <w:rsid w:val="006D21B6"/>
    <w:rsid w:val="006D32B6"/>
    <w:rsid w:val="006D6C25"/>
    <w:rsid w:val="006E136E"/>
    <w:rsid w:val="006E1468"/>
    <w:rsid w:val="006E3EFD"/>
    <w:rsid w:val="006E6EA9"/>
    <w:rsid w:val="006F4BF4"/>
    <w:rsid w:val="006F55C1"/>
    <w:rsid w:val="00704A8F"/>
    <w:rsid w:val="00705855"/>
    <w:rsid w:val="00710C34"/>
    <w:rsid w:val="007140BE"/>
    <w:rsid w:val="00715DC9"/>
    <w:rsid w:val="00716358"/>
    <w:rsid w:val="0072529A"/>
    <w:rsid w:val="00730699"/>
    <w:rsid w:val="00730EEC"/>
    <w:rsid w:val="007314B4"/>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019D"/>
    <w:rsid w:val="007C3388"/>
    <w:rsid w:val="007D4379"/>
    <w:rsid w:val="007D5309"/>
    <w:rsid w:val="007D5C38"/>
    <w:rsid w:val="007D6E67"/>
    <w:rsid w:val="007E621D"/>
    <w:rsid w:val="007F7012"/>
    <w:rsid w:val="008005A4"/>
    <w:rsid w:val="008016B7"/>
    <w:rsid w:val="00801EE0"/>
    <w:rsid w:val="0080316E"/>
    <w:rsid w:val="00804056"/>
    <w:rsid w:val="00806F62"/>
    <w:rsid w:val="008073A1"/>
    <w:rsid w:val="008128BB"/>
    <w:rsid w:val="008138BB"/>
    <w:rsid w:val="00822893"/>
    <w:rsid w:val="00826F72"/>
    <w:rsid w:val="0082732E"/>
    <w:rsid w:val="00842D7D"/>
    <w:rsid w:val="00850853"/>
    <w:rsid w:val="00851CA2"/>
    <w:rsid w:val="00864C0F"/>
    <w:rsid w:val="008708EC"/>
    <w:rsid w:val="00881817"/>
    <w:rsid w:val="00890BA4"/>
    <w:rsid w:val="008927DF"/>
    <w:rsid w:val="00892ADA"/>
    <w:rsid w:val="00893EDA"/>
    <w:rsid w:val="008A15EF"/>
    <w:rsid w:val="008A2367"/>
    <w:rsid w:val="008A2DCD"/>
    <w:rsid w:val="008A4694"/>
    <w:rsid w:val="008A65DD"/>
    <w:rsid w:val="008B16D4"/>
    <w:rsid w:val="008B2CD3"/>
    <w:rsid w:val="008B2EC1"/>
    <w:rsid w:val="008B7240"/>
    <w:rsid w:val="008C1FEE"/>
    <w:rsid w:val="008C602C"/>
    <w:rsid w:val="008D0539"/>
    <w:rsid w:val="008D0D89"/>
    <w:rsid w:val="008E45A1"/>
    <w:rsid w:val="008E48AF"/>
    <w:rsid w:val="008E7575"/>
    <w:rsid w:val="008F1D24"/>
    <w:rsid w:val="008F21FF"/>
    <w:rsid w:val="008F621A"/>
    <w:rsid w:val="009000EC"/>
    <w:rsid w:val="009003E7"/>
    <w:rsid w:val="00905E0B"/>
    <w:rsid w:val="00906870"/>
    <w:rsid w:val="009141E1"/>
    <w:rsid w:val="009144C5"/>
    <w:rsid w:val="00916771"/>
    <w:rsid w:val="009202F6"/>
    <w:rsid w:val="00920B6F"/>
    <w:rsid w:val="00923349"/>
    <w:rsid w:val="00923C2A"/>
    <w:rsid w:val="00924F97"/>
    <w:rsid w:val="009257F7"/>
    <w:rsid w:val="00932859"/>
    <w:rsid w:val="00934821"/>
    <w:rsid w:val="0094398A"/>
    <w:rsid w:val="009441AD"/>
    <w:rsid w:val="00946B14"/>
    <w:rsid w:val="009508CE"/>
    <w:rsid w:val="009511D5"/>
    <w:rsid w:val="009540AD"/>
    <w:rsid w:val="00962923"/>
    <w:rsid w:val="00962A29"/>
    <w:rsid w:val="00967AB4"/>
    <w:rsid w:val="00970382"/>
    <w:rsid w:val="00972A01"/>
    <w:rsid w:val="00974689"/>
    <w:rsid w:val="00975034"/>
    <w:rsid w:val="00975448"/>
    <w:rsid w:val="00983232"/>
    <w:rsid w:val="0098531D"/>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268F"/>
    <w:rsid w:val="00A46FA3"/>
    <w:rsid w:val="00A542A0"/>
    <w:rsid w:val="00A56B84"/>
    <w:rsid w:val="00A705DD"/>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348F"/>
    <w:rsid w:val="00B3685B"/>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C071F"/>
    <w:rsid w:val="00BD2090"/>
    <w:rsid w:val="00BD2833"/>
    <w:rsid w:val="00BD3AE4"/>
    <w:rsid w:val="00BD79A0"/>
    <w:rsid w:val="00BE1968"/>
    <w:rsid w:val="00BE1F9B"/>
    <w:rsid w:val="00C017D1"/>
    <w:rsid w:val="00C1227A"/>
    <w:rsid w:val="00C169C8"/>
    <w:rsid w:val="00C171AC"/>
    <w:rsid w:val="00C34651"/>
    <w:rsid w:val="00C45CDC"/>
    <w:rsid w:val="00C471D6"/>
    <w:rsid w:val="00C5377B"/>
    <w:rsid w:val="00C57B50"/>
    <w:rsid w:val="00C6340F"/>
    <w:rsid w:val="00C635DB"/>
    <w:rsid w:val="00C67CAF"/>
    <w:rsid w:val="00C711F6"/>
    <w:rsid w:val="00C7257A"/>
    <w:rsid w:val="00C74D18"/>
    <w:rsid w:val="00C76046"/>
    <w:rsid w:val="00C82B4C"/>
    <w:rsid w:val="00C8598B"/>
    <w:rsid w:val="00C96268"/>
    <w:rsid w:val="00CA040E"/>
    <w:rsid w:val="00CA11EA"/>
    <w:rsid w:val="00CA3E6B"/>
    <w:rsid w:val="00CA6B45"/>
    <w:rsid w:val="00CA6C22"/>
    <w:rsid w:val="00CA731A"/>
    <w:rsid w:val="00CB0169"/>
    <w:rsid w:val="00CB3DD9"/>
    <w:rsid w:val="00CC0D65"/>
    <w:rsid w:val="00CC4AB2"/>
    <w:rsid w:val="00CC4E78"/>
    <w:rsid w:val="00CD0D23"/>
    <w:rsid w:val="00CD0E39"/>
    <w:rsid w:val="00CD11C6"/>
    <w:rsid w:val="00CD1263"/>
    <w:rsid w:val="00CE0A58"/>
    <w:rsid w:val="00CE1FB5"/>
    <w:rsid w:val="00CE2D4D"/>
    <w:rsid w:val="00CF0895"/>
    <w:rsid w:val="00CF0CF0"/>
    <w:rsid w:val="00CF15A4"/>
    <w:rsid w:val="00CF2E5B"/>
    <w:rsid w:val="00CF6B21"/>
    <w:rsid w:val="00CF7BFB"/>
    <w:rsid w:val="00D014CB"/>
    <w:rsid w:val="00D0243D"/>
    <w:rsid w:val="00D10259"/>
    <w:rsid w:val="00D138A3"/>
    <w:rsid w:val="00D22ECF"/>
    <w:rsid w:val="00D24451"/>
    <w:rsid w:val="00D25119"/>
    <w:rsid w:val="00D27046"/>
    <w:rsid w:val="00D27E49"/>
    <w:rsid w:val="00D514F1"/>
    <w:rsid w:val="00D6438F"/>
    <w:rsid w:val="00D6637E"/>
    <w:rsid w:val="00D72845"/>
    <w:rsid w:val="00D73191"/>
    <w:rsid w:val="00D7594A"/>
    <w:rsid w:val="00D920F2"/>
    <w:rsid w:val="00D96C30"/>
    <w:rsid w:val="00D97826"/>
    <w:rsid w:val="00DA4772"/>
    <w:rsid w:val="00DA4F2A"/>
    <w:rsid w:val="00DB0CCA"/>
    <w:rsid w:val="00DB2982"/>
    <w:rsid w:val="00DB4E9A"/>
    <w:rsid w:val="00DB59EC"/>
    <w:rsid w:val="00DB7454"/>
    <w:rsid w:val="00DC1A95"/>
    <w:rsid w:val="00DC2C46"/>
    <w:rsid w:val="00DD76C9"/>
    <w:rsid w:val="00DE6536"/>
    <w:rsid w:val="00DE685B"/>
    <w:rsid w:val="00DE78FC"/>
    <w:rsid w:val="00DF4B69"/>
    <w:rsid w:val="00DF7563"/>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7144A"/>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13200"/>
    <w:rsid w:val="00F21878"/>
    <w:rsid w:val="00F234E0"/>
    <w:rsid w:val="00F24A33"/>
    <w:rsid w:val="00F27918"/>
    <w:rsid w:val="00F31A95"/>
    <w:rsid w:val="00F32E6C"/>
    <w:rsid w:val="00F33912"/>
    <w:rsid w:val="00F40353"/>
    <w:rsid w:val="00F52130"/>
    <w:rsid w:val="00F60917"/>
    <w:rsid w:val="00F615F8"/>
    <w:rsid w:val="00F61723"/>
    <w:rsid w:val="00F669B1"/>
    <w:rsid w:val="00F73D44"/>
    <w:rsid w:val="00F75BAB"/>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F07B2"/>
    <w:rsid w:val="00FF11BB"/>
    <w:rsid w:val="00FF2237"/>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www.ekr.gov.h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8CA4B-FC15-45E7-A49F-23CF8630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17</Pages>
  <Words>6472</Words>
  <Characters>45707</Characters>
  <Application>Microsoft Office Word</Application>
  <DocSecurity>0</DocSecurity>
  <Lines>380</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71</cp:revision>
  <cp:lastPrinted>2023-08-31T11:11:00Z</cp:lastPrinted>
  <dcterms:created xsi:type="dcterms:W3CDTF">2022-02-09T16:07:00Z</dcterms:created>
  <dcterms:modified xsi:type="dcterms:W3CDTF">2023-09-15T07:09:00Z</dcterms:modified>
</cp:coreProperties>
</file>