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1EB8" w14:textId="77777777" w:rsidR="00D22554" w:rsidRPr="006A495C" w:rsidRDefault="00D22554" w:rsidP="00D22554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3539F878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23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E368E6">
        <w:rPr>
          <w:sz w:val="28"/>
        </w:rPr>
        <w:t>április</w:t>
      </w:r>
      <w:r w:rsidR="00B0678A">
        <w:rPr>
          <w:sz w:val="28"/>
        </w:rPr>
        <w:t xml:space="preserve"> </w:t>
      </w:r>
      <w:r w:rsidR="00EF4D81">
        <w:rPr>
          <w:sz w:val="28"/>
        </w:rPr>
        <w:t>27</w:t>
      </w:r>
      <w:r w:rsidRPr="006A495C">
        <w:rPr>
          <w:sz w:val="28"/>
        </w:rPr>
        <w:t>-</w:t>
      </w:r>
      <w:r w:rsidR="00EF4D81">
        <w:rPr>
          <w:sz w:val="28"/>
        </w:rPr>
        <w:t>é</w:t>
      </w:r>
      <w:r w:rsidRPr="006A495C">
        <w:rPr>
          <w:sz w:val="28"/>
        </w:rPr>
        <w:t>n</w:t>
      </w:r>
    </w:p>
    <w:p w14:paraId="2529C758" w14:textId="77777777" w:rsidR="00D22554" w:rsidRPr="006A495C" w:rsidRDefault="00D22554" w:rsidP="00D22554">
      <w:pPr>
        <w:jc w:val="center"/>
      </w:pPr>
      <w:r w:rsidRPr="006A495C">
        <w:rPr>
          <w:sz w:val="28"/>
        </w:rPr>
        <w:t>tartandó 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5C2E38A8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B0678A">
        <w:rPr>
          <w:b/>
        </w:rPr>
        <w:t>3</w:t>
      </w:r>
      <w:r w:rsidRPr="006A495C">
        <w:rPr>
          <w:b/>
        </w:rPr>
        <w:t xml:space="preserve">. évi költségvetéséről szóló </w:t>
      </w:r>
      <w:r w:rsidR="00B0678A">
        <w:rPr>
          <w:b/>
        </w:rPr>
        <w:t>2</w:t>
      </w:r>
      <w:r w:rsidRPr="006A495C">
        <w:rPr>
          <w:b/>
        </w:rPr>
        <w:t>/202</w:t>
      </w:r>
      <w:r w:rsidR="00B0678A">
        <w:rPr>
          <w:b/>
        </w:rPr>
        <w:t>3</w:t>
      </w:r>
      <w:r w:rsidRPr="006A495C">
        <w:rPr>
          <w:b/>
        </w:rPr>
        <w:t>.(II.1</w:t>
      </w:r>
      <w:r w:rsidR="00B0678A">
        <w:rPr>
          <w:b/>
        </w:rPr>
        <w:t>4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77777777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Melléklet:</w:t>
      </w:r>
      <w:r w:rsidRPr="006A495C">
        <w:t xml:space="preserve">                                           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Szőke Zoltán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Köblös Máté 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6C525A4E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Pr="004B0DE2">
        <w:t>5</w:t>
      </w:r>
      <w:r w:rsidR="00B0678A">
        <w:t>337</w:t>
      </w:r>
      <w:r w:rsidRPr="004B0DE2">
        <w:t>-</w:t>
      </w:r>
      <w:r w:rsidR="00B0678A">
        <w:t>1</w:t>
      </w:r>
      <w:r w:rsidR="000C24FB">
        <w:t>/20</w:t>
      </w:r>
      <w:r w:rsidRPr="006A495C">
        <w:t>2</w:t>
      </w:r>
      <w:r w:rsidR="00B0678A">
        <w:t>3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704D47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0E99EA54" w:rsidR="00704D47" w:rsidRPr="006A495C" w:rsidRDefault="00392420" w:rsidP="00601647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0EC188DB" w:rsidR="00704D47" w:rsidRPr="006A495C" w:rsidRDefault="00392420" w:rsidP="00601647">
            <w:pPr>
              <w:ind w:left="0"/>
            </w:pPr>
            <w:r w:rsidRPr="006A495C">
              <w:t>SZMSZ 3. melléklet 2.1 pont</w:t>
            </w:r>
          </w:p>
        </w:tc>
      </w:tr>
      <w:tr w:rsidR="00704D47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490F4579" w:rsidR="00704D47" w:rsidRPr="006A495C" w:rsidRDefault="00392420" w:rsidP="00601647">
            <w:pPr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31AC05B0" w:rsidR="00704D47" w:rsidRPr="006A495C" w:rsidRDefault="00392420" w:rsidP="00601647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040FC4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18F51077" w:rsidR="00040FC4" w:rsidRPr="006A495C" w:rsidRDefault="00040FC4" w:rsidP="00040FC4">
            <w:pPr>
              <w:ind w:left="0"/>
            </w:pPr>
            <w:r w:rsidRPr="006A495C">
              <w:t>Makkai Jánosné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0C855E54" w:rsidR="00040FC4" w:rsidRPr="002147CC" w:rsidRDefault="00000000" w:rsidP="00040FC4">
            <w:pPr>
              <w:ind w:left="0"/>
            </w:pPr>
            <w:hyperlink r:id="rId8" w:history="1">
              <w:r w:rsidR="00040FC4" w:rsidRPr="002147CC">
                <w:rPr>
                  <w:rStyle w:val="Hiperhivatkozs"/>
                  <w:color w:val="auto"/>
                  <w:u w:val="none"/>
                </w:rPr>
                <w:t>szeszk@gmail.com</w:t>
              </w:r>
            </w:hyperlink>
          </w:p>
        </w:tc>
      </w:tr>
      <w:tr w:rsidR="00040FC4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73807FB9" w:rsidR="00040FC4" w:rsidRPr="006A495C" w:rsidRDefault="00040FC4" w:rsidP="00040FC4">
            <w:pPr>
              <w:ind w:left="0"/>
            </w:pPr>
            <w:r w:rsidRPr="006A495C">
              <w:t>Harasztiné Gorzsás Ildikó, gazdasági 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23B0D9CA" w:rsidR="00040FC4" w:rsidRPr="002147CC" w:rsidRDefault="00040FC4" w:rsidP="00040FC4">
            <w:pPr>
              <w:ind w:left="0"/>
            </w:pPr>
            <w:r w:rsidRPr="002147CC">
              <w:t>harasztine69@gmail.com</w:t>
            </w:r>
          </w:p>
        </w:tc>
      </w:tr>
      <w:tr w:rsidR="00040FC4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57B34F36" w:rsidR="00040FC4" w:rsidRPr="006A495C" w:rsidRDefault="00040FC4" w:rsidP="00040FC4">
            <w:pPr>
              <w:ind w:left="0"/>
            </w:pPr>
            <w:r w:rsidRPr="006A495C">
              <w:t>Moravszki Zsoltné intézményvezető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14F2ABF4" w:rsidR="00040FC4" w:rsidRPr="002147CC" w:rsidRDefault="00000000" w:rsidP="00040FC4">
            <w:pPr>
              <w:ind w:left="0"/>
            </w:pPr>
            <w:hyperlink r:id="rId9" w:history="1">
              <w:r w:rsidR="00040FC4" w:rsidRPr="002147CC">
                <w:rPr>
                  <w:rStyle w:val="Hiperhivatkozs"/>
                  <w:color w:val="auto"/>
                  <w:u w:val="none"/>
                </w:rPr>
                <w:t>ekaovoda@gmail.com</w:t>
              </w:r>
            </w:hyperlink>
          </w:p>
        </w:tc>
      </w:tr>
      <w:tr w:rsidR="00040FC4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3CBB613E" w:rsidR="00040FC4" w:rsidRPr="006A495C" w:rsidRDefault="00040FC4" w:rsidP="00040FC4">
            <w:pPr>
              <w:ind w:left="0"/>
            </w:pPr>
            <w:r w:rsidRPr="006A495C">
              <w:t>Kulcsár Lászlóné intézményvezető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7B8E6ACD" w:rsidR="00040FC4" w:rsidRPr="006A495C" w:rsidRDefault="00040FC4" w:rsidP="00040FC4">
            <w:pPr>
              <w:ind w:left="0"/>
            </w:pPr>
            <w:r w:rsidRPr="006A495C">
              <w:t>vktiszavasvari@gmail.com</w:t>
            </w:r>
          </w:p>
        </w:tc>
      </w:tr>
      <w:tr w:rsidR="00040FC4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20866B87" w:rsidR="00040FC4" w:rsidRPr="006A495C" w:rsidRDefault="007471C7" w:rsidP="00040FC4">
            <w:pPr>
              <w:ind w:left="0"/>
            </w:pPr>
            <w:r>
              <w:t xml:space="preserve">Munkácsi Ágnes </w:t>
            </w:r>
            <w:r w:rsidRPr="006A495C">
              <w:t>intézményvezető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720839CC" w:rsidR="00040FC4" w:rsidRPr="006A495C" w:rsidRDefault="007471C7" w:rsidP="00040FC4">
            <w:pPr>
              <w:ind w:left="0"/>
            </w:pPr>
            <w:r>
              <w:t>cseperedok@tiszavasvari.hu</w:t>
            </w: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1BFAA041" w:rsidR="00601647" w:rsidRDefault="008C7969" w:rsidP="00700F79">
      <w:pPr>
        <w:pStyle w:val="Szvegtrzs"/>
      </w:pPr>
      <w:r>
        <w:t>Tiszavasvári, 202</w:t>
      </w:r>
      <w:r w:rsidR="00700F79">
        <w:t>3</w:t>
      </w:r>
      <w:r>
        <w:t xml:space="preserve">. </w:t>
      </w:r>
      <w:r w:rsidR="00E11919">
        <w:t>április</w:t>
      </w:r>
      <w:r w:rsidR="00B0678A">
        <w:t xml:space="preserve"> 2</w:t>
      </w:r>
      <w:r w:rsidR="00E11919">
        <w:t>1</w:t>
      </w:r>
      <w:r w:rsidR="00B0678A">
        <w:t>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77777777" w:rsidR="00601647" w:rsidRPr="006A495C" w:rsidRDefault="00601647" w:rsidP="00601647">
      <w:pPr>
        <w:tabs>
          <w:tab w:val="center" w:pos="7371"/>
        </w:tabs>
      </w:pPr>
      <w:r w:rsidRPr="006A495C">
        <w:tab/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77777777" w:rsidR="009B7E09" w:rsidRPr="006A495C" w:rsidRDefault="009B7E09" w:rsidP="009B7E09">
      <w:pPr>
        <w:ind w:left="0"/>
      </w:pPr>
      <w:r w:rsidRPr="006A495C">
        <w:t>Témafelelős: Köblös Máté</w:t>
      </w:r>
    </w:p>
    <w:p w14:paraId="0D40F97E" w14:textId="77777777" w:rsidR="009B7E09" w:rsidRPr="006A495C" w:rsidRDefault="009B7E09" w:rsidP="009B7E09">
      <w:pPr>
        <w:ind w:left="0"/>
      </w:pPr>
      <w:r w:rsidRPr="006A495C">
        <w:t xml:space="preserve">                      </w:t>
      </w: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2C40A750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EB1FD5">
        <w:rPr>
          <w:b/>
        </w:rPr>
        <w:t>3</w:t>
      </w:r>
      <w:r w:rsidRPr="006A495C">
        <w:rPr>
          <w:b/>
        </w:rPr>
        <w:t xml:space="preserve">. évi költségvetéséről szóló </w:t>
      </w:r>
      <w:r w:rsidR="00EB1FD5">
        <w:rPr>
          <w:b/>
        </w:rPr>
        <w:t>2</w:t>
      </w:r>
      <w:r w:rsidRPr="006A495C">
        <w:rPr>
          <w:b/>
        </w:rPr>
        <w:t>/202</w:t>
      </w:r>
      <w:r w:rsidR="00EB1FD5">
        <w:rPr>
          <w:b/>
        </w:rPr>
        <w:t>3</w:t>
      </w:r>
      <w:r w:rsidRPr="006A495C">
        <w:rPr>
          <w:b/>
        </w:rPr>
        <w:t>.</w:t>
      </w:r>
      <w:r w:rsidR="00EB1FD5">
        <w:rPr>
          <w:b/>
        </w:rPr>
        <w:t xml:space="preserve"> </w:t>
      </w:r>
      <w:r w:rsidRPr="006A495C">
        <w:rPr>
          <w:b/>
        </w:rPr>
        <w:t>(II.1</w:t>
      </w:r>
      <w:r w:rsidR="00EB1FD5">
        <w:rPr>
          <w:b/>
        </w:rPr>
        <w:t>4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1EA604CA" w14:textId="77777777" w:rsidR="009B7E09" w:rsidRPr="006A495C" w:rsidRDefault="009B7E09" w:rsidP="009B7E09">
      <w:pPr>
        <w:ind w:left="0"/>
        <w:rPr>
          <w:b/>
        </w:rPr>
      </w:pPr>
    </w:p>
    <w:p w14:paraId="62128E80" w14:textId="3FD479F3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EB1FD5">
        <w:t>3</w:t>
      </w:r>
      <w:r w:rsidRPr="006A495C">
        <w:t>. évi költségvetés módosítását szervezetekre megbontva, mely az alábbiak miatt vált szükségessé:</w:t>
      </w:r>
    </w:p>
    <w:p w14:paraId="388B5DDE" w14:textId="24BA0E2C" w:rsidR="00152D09" w:rsidRDefault="00152D09" w:rsidP="00C042CC">
      <w:pPr>
        <w:pStyle w:val="Intzmny"/>
        <w:spacing w:before="240" w:after="0"/>
      </w:pPr>
      <w:r w:rsidRPr="006A495C">
        <w:t>I. Tiszavasvári Bölcsőde</w:t>
      </w:r>
    </w:p>
    <w:p w14:paraId="6B65C869" w14:textId="2D701D51" w:rsidR="00E4310B" w:rsidRDefault="00E4310B" w:rsidP="00E4310B">
      <w:pPr>
        <w:ind w:left="0"/>
      </w:pPr>
    </w:p>
    <w:p w14:paraId="41217123" w14:textId="46419DE1" w:rsidR="00E4310B" w:rsidRDefault="00E4310B" w:rsidP="00DE0D5A">
      <w:pPr>
        <w:pStyle w:val="Listaszerbekezds"/>
        <w:ind w:left="426" w:hanging="426"/>
      </w:pPr>
      <w:r>
        <w:t>Az intézmény a tavalyi évben kapott</w:t>
      </w:r>
      <w:r w:rsidR="00D61F1A">
        <w:t xml:space="preserve"> pályázati forrásból játékokat vásárolt, azonban egy számla csak az idei évben került kiállításra, melyre szükséges előirányzatot biztosítani. Valamint az év közben esetlegesen felmerülő tárgyi eszköz beszerzésre célszerű </w:t>
      </w:r>
      <w:r w:rsidR="00913000">
        <w:t>egy nettó 50.000 Ft-os keretet előirányozni.</w:t>
      </w:r>
    </w:p>
    <w:p w14:paraId="0846CE24" w14:textId="3CB24242" w:rsidR="00913000" w:rsidRDefault="00D61F1A" w:rsidP="00DE0D5A">
      <w:r>
        <w:t xml:space="preserve">Ezért az intézmény költségvetésében a </w:t>
      </w:r>
      <w:r w:rsidRPr="00D61F1A">
        <w:t>Gyermekek bölcsődében és mini bölcsődében történő ellátása</w:t>
      </w:r>
      <w:r>
        <w:t xml:space="preserve"> (104031-Köt.) kormányzati funkción az </w:t>
      </w:r>
      <w:r w:rsidRPr="00D61F1A">
        <w:t>Egyéb tárgyi eszközök beszerzése, létesítése</w:t>
      </w:r>
      <w:r>
        <w:t xml:space="preserve"> (K64) kiadási előirányzatát </w:t>
      </w:r>
      <w:r w:rsidR="00913000">
        <w:t xml:space="preserve">64.165 Ft-tal, a </w:t>
      </w:r>
      <w:r w:rsidR="00913000" w:rsidRPr="00913000">
        <w:t>Beruházási célú előzetesen felszámított általános forgalmi adó</w:t>
      </w:r>
      <w:r w:rsidR="00913000">
        <w:t xml:space="preserve"> (K67) kiadási előirányzatát 17.325 Ft-tal javaslom megnövelni. Ezzel egyidőben a </w:t>
      </w:r>
      <w:r w:rsidR="00913000" w:rsidRPr="001C173B">
        <w:t>Támogatási célú finanszírozási műveletek</w:t>
      </w:r>
      <w:r w:rsidR="00913000">
        <w:t xml:space="preserve"> (018030-Köt.) kormányzati funkción a </w:t>
      </w:r>
      <w:r w:rsidR="00913000" w:rsidRPr="001C173B">
        <w:t>Központi, irányító szervi támogatás</w:t>
      </w:r>
      <w:r w:rsidR="00913000">
        <w:t xml:space="preserve"> (B816) bevételi előirányzata 81.490 Ft-tal nő.</w:t>
      </w:r>
      <w:r w:rsidR="00DA3454">
        <w:t xml:space="preserve"> Ennek hatására az Önkormányzat költségvetésében az általános tartalék 81.490 Ft-tal csökken.</w:t>
      </w:r>
    </w:p>
    <w:p w14:paraId="01B0CA19" w14:textId="77777777" w:rsidR="00483C37" w:rsidRDefault="00DE0D5A" w:rsidP="00DE0D5A">
      <w:pPr>
        <w:pStyle w:val="Listaszerbekezds"/>
        <w:ind w:left="426" w:hanging="426"/>
      </w:pPr>
      <w:r>
        <w:t>A 2023. március 02-án tartott rendkívüli testületi ülésen elfogadásra került az étkezési térítési díj módosítása, mely alapján az intézmény alapanyag költsége 1.815.654 Ft-tal nő.</w:t>
      </w:r>
    </w:p>
    <w:p w14:paraId="52E27785" w14:textId="099C1153" w:rsidR="00DA3454" w:rsidRDefault="00483C37" w:rsidP="00DA3454">
      <w:r>
        <w:t xml:space="preserve">Ezért az intézmény költségvetésében a </w:t>
      </w:r>
      <w:r w:rsidRPr="00483C37">
        <w:t>Gyermekétkeztetés bölcsődében, fogyatékosok nappali intézményében</w:t>
      </w:r>
      <w:r>
        <w:t xml:space="preserve"> (104035-Köt.) kormányzati funkción az </w:t>
      </w:r>
      <w:r w:rsidRPr="00483C37">
        <w:t>Üzemeltetési anyagok beszerzése</w:t>
      </w:r>
      <w:r w:rsidR="00DE0D5A">
        <w:t xml:space="preserve"> </w:t>
      </w:r>
      <w:r>
        <w:t xml:space="preserve">(K312) kiadási előirányzatát 1.562.525 Ft-tal, a </w:t>
      </w:r>
      <w:r w:rsidRPr="00483C37">
        <w:t>Működési célú előzetesen felszámított általános forgalmi adó</w:t>
      </w:r>
      <w:r>
        <w:t xml:space="preserve"> (K351) kiadási előirányzatát 253.129 Ft-tal javaslom megemelni. Ezzel egyidőben a </w:t>
      </w:r>
      <w:r w:rsidRPr="001C173B">
        <w:t>Támogatási célú finanszírozási műveletek</w:t>
      </w:r>
      <w:r>
        <w:t xml:space="preserve"> (018030-Köt.) kormányzati funkción a </w:t>
      </w:r>
      <w:r w:rsidRPr="001C173B">
        <w:t>Központi, irányító szervi támogatás</w:t>
      </w:r>
      <w:r>
        <w:t xml:space="preserve"> (B816) bevételi előirányzata 1.815.654 Ft-tal nő.</w:t>
      </w:r>
      <w:r w:rsidR="00DA3454">
        <w:t xml:space="preserve"> </w:t>
      </w:r>
      <w:r w:rsidR="00DA3454">
        <w:t xml:space="preserve">Ennek hatására az Önkormányzat költségvetésében az általános tartalék </w:t>
      </w:r>
      <w:r w:rsidR="00DA3454">
        <w:t>1.815.654</w:t>
      </w:r>
      <w:r w:rsidR="00DA3454">
        <w:t xml:space="preserve"> Ft-tal csökken.</w:t>
      </w:r>
    </w:p>
    <w:p w14:paraId="1D0A7A3A" w14:textId="55101A9B" w:rsidR="00483C37" w:rsidRDefault="00483C37" w:rsidP="00483C37"/>
    <w:p w14:paraId="65174816" w14:textId="77777777" w:rsidR="00DA3454" w:rsidRDefault="00DA3454" w:rsidP="00483C37"/>
    <w:p w14:paraId="1E32EFBA" w14:textId="580263FE" w:rsidR="00A41166" w:rsidRDefault="00152D09" w:rsidP="00C042CC">
      <w:pPr>
        <w:pStyle w:val="Intzmny"/>
        <w:spacing w:before="240"/>
      </w:pPr>
      <w:bookmarkStart w:id="0" w:name="_Hlk117593299"/>
      <w:r w:rsidRPr="006A495C">
        <w:lastRenderedPageBreak/>
        <w:t>II. Egyesített Közművelődési Intéz</w:t>
      </w:r>
      <w:r w:rsidR="00A41166" w:rsidRPr="006A495C">
        <w:t>mény és Könyvtár</w:t>
      </w:r>
    </w:p>
    <w:p w14:paraId="3CC279F2" w14:textId="7055A720" w:rsidR="00135341" w:rsidRDefault="00135341" w:rsidP="00135341">
      <w:pPr>
        <w:pStyle w:val="Listaszerbekezds"/>
        <w:numPr>
          <w:ilvl w:val="0"/>
          <w:numId w:val="35"/>
        </w:numPr>
        <w:ind w:left="426" w:hanging="426"/>
        <w:rPr>
          <w:color w:val="000000"/>
          <w:szCs w:val="24"/>
        </w:rPr>
      </w:pPr>
      <w:r>
        <w:rPr>
          <w:color w:val="000000"/>
          <w:szCs w:val="24"/>
        </w:rPr>
        <w:t>Az intézmény jelezte, hogy 2 darab fényállvány (reflektor tartó állvány) vált szükségessé a rendezvények megtartásához, ezért az alábbi átcsoportosítás végrehajtását javaslom elfogadni:</w:t>
      </w:r>
    </w:p>
    <w:p w14:paraId="1E927FAE" w14:textId="03620EAC" w:rsidR="00135341" w:rsidRPr="00135341" w:rsidRDefault="00135341" w:rsidP="00135341">
      <w:r>
        <w:t xml:space="preserve">Az intézmény költségvetésében a </w:t>
      </w:r>
      <w:r w:rsidRPr="00135341">
        <w:t>Közművelődés - közösségi és társadalmi részvétel fejlesztése</w:t>
      </w:r>
      <w:r>
        <w:t xml:space="preserve"> (082091-Köt.) kormányzati funkción a</w:t>
      </w:r>
      <w:r w:rsidR="00725353">
        <w:t xml:space="preserve">z </w:t>
      </w:r>
      <w:r w:rsidR="00725353" w:rsidRPr="00725353">
        <w:t>Üzemeltetési anyagok beszerzése</w:t>
      </w:r>
      <w:r w:rsidR="00725353">
        <w:t xml:space="preserve"> (K312) kiadási előirányzatát 130.346 Ft-tal, a </w:t>
      </w:r>
      <w:r w:rsidR="00725353" w:rsidRPr="00725353">
        <w:t>Működési célú előzetesen felszámított általános forgalmi adó</w:t>
      </w:r>
      <w:r w:rsidR="00725353">
        <w:t xml:space="preserve"> (K351) kiadási előirányzatát 35.194 Ft-tal javaslom csökkenteni, ezzel egyidőben az </w:t>
      </w:r>
      <w:r w:rsidR="00725353" w:rsidRPr="00725353">
        <w:t>Egyéb tárgyi eszközök beszerzése, létesítése</w:t>
      </w:r>
      <w:r w:rsidR="00725353">
        <w:t xml:space="preserve"> (K64) kiadási előirányzatát 130.346 Ft-tal, a </w:t>
      </w:r>
      <w:r w:rsidR="00725353" w:rsidRPr="00725353">
        <w:t>Beruházási célú előzetesen felszámított általános forgalmi adó</w:t>
      </w:r>
      <w:r w:rsidR="00725353">
        <w:t xml:space="preserve"> (K67) kiadási előirányzatát 35.194 Ft-tal javaslom megemelni.</w:t>
      </w:r>
    </w:p>
    <w:bookmarkEnd w:id="0"/>
    <w:p w14:paraId="6589CE49" w14:textId="7F9921B7" w:rsidR="00152D09" w:rsidRDefault="00152D09" w:rsidP="00C042CC">
      <w:pPr>
        <w:pStyle w:val="Intzmny"/>
        <w:spacing w:before="240"/>
      </w:pPr>
      <w:r w:rsidRPr="006A495C">
        <w:t>I</w:t>
      </w:r>
      <w:r w:rsidR="00A070CE">
        <w:t>II</w:t>
      </w:r>
      <w:r w:rsidRPr="006A495C">
        <w:t>. Kornisné Liptay Elza Szociális és Gyermekjóléti Központ</w:t>
      </w:r>
    </w:p>
    <w:p w14:paraId="339E9FF9" w14:textId="77777777" w:rsidR="00A41166" w:rsidRPr="006A495C" w:rsidRDefault="00A41166" w:rsidP="00A41166">
      <w:pPr>
        <w:ind w:left="0"/>
      </w:pPr>
      <w:r w:rsidRPr="006A495C">
        <w:t>Az Intézménnyel kapcsolatos előirányzat módosítást az Intézmény által elkészített előirányzat-módosítási kérelem tartalmazza, amely az előterjesztés mellékletét képezi.</w:t>
      </w:r>
    </w:p>
    <w:p w14:paraId="664BEE00" w14:textId="5C0EFEB6" w:rsidR="00C6497B" w:rsidRDefault="00A070CE" w:rsidP="00C042CC">
      <w:pPr>
        <w:pStyle w:val="Intzmny"/>
        <w:spacing w:before="240"/>
        <w:jc w:val="left"/>
      </w:pPr>
      <w:r>
        <w:t>I</w:t>
      </w:r>
      <w:r w:rsidR="00152D09" w:rsidRPr="006A495C">
        <w:t>V. Tiszavasvári Egyesített Óvodai Intézmény</w:t>
      </w:r>
    </w:p>
    <w:p w14:paraId="464E6B5A" w14:textId="7CFCF023" w:rsidR="00431972" w:rsidRDefault="00431972" w:rsidP="00DE0D5A">
      <w:pPr>
        <w:pStyle w:val="Listaszerbekezds"/>
        <w:numPr>
          <w:ilvl w:val="0"/>
          <w:numId w:val="34"/>
        </w:numPr>
        <w:ind w:left="426" w:hanging="426"/>
      </w:pPr>
      <w:r>
        <w:t>A költségvetés tervezésekor nem került figyelembevételre az éves áfabevallásból keletkező fizetési kötelezettség. Továbbá a nehéz likviditási helyzetünk miatt több közüzemi számlát (rendkívüli települési támogatási igény részét képezik) nem tudtunk határidőben teljesíteni, így előre nem tervezett fizetési felszólítási díj és kötbér került felszámolásra. A fentiekhez szükséges előirányzat intézményvezetői saját hatáskörben biztosításra került</w:t>
      </w:r>
      <w:r w:rsidR="001C173B">
        <w:t xml:space="preserve"> a közüzemi díjak terhére, mely előirányzatokat szükséges visszapótolni.</w:t>
      </w:r>
    </w:p>
    <w:p w14:paraId="23410EA2" w14:textId="07E1412E" w:rsidR="00DA3454" w:rsidRDefault="001C173B" w:rsidP="00DA3454">
      <w:r>
        <w:t xml:space="preserve">Ezért az Óvoda költségvetésében az </w:t>
      </w:r>
      <w:r w:rsidRPr="001C173B">
        <w:t>Óvodai nevelés, ellátás működtetési feladatai</w:t>
      </w:r>
      <w:r>
        <w:t xml:space="preserve"> (091140-Köt.) kormányzati funkción a </w:t>
      </w:r>
      <w:r w:rsidRPr="001C173B">
        <w:t>Gázenergia szolgáltatás díja</w:t>
      </w:r>
      <w:r>
        <w:t xml:space="preserve"> (K3312) kiadási előirányzatát 437.795 Ft-tal, a </w:t>
      </w:r>
      <w:r w:rsidRPr="001C173B">
        <w:t>Működési célú előzetesen felszámított általános forgalmi adó</w:t>
      </w:r>
      <w:r>
        <w:t xml:space="preserve"> (K351) kiadási előirányzatát 118.205 Ft-tal szükséges megnövelni. Ezzel egyidőben a </w:t>
      </w:r>
      <w:r w:rsidRPr="001C173B">
        <w:t>Támogatási célú finanszírozási műveletek</w:t>
      </w:r>
      <w:r>
        <w:t xml:space="preserve"> (018030-Köt.) kormányzati funkción a </w:t>
      </w:r>
      <w:r w:rsidRPr="001C173B">
        <w:t>Központi, irányító szervi támogatás</w:t>
      </w:r>
      <w:r>
        <w:t xml:space="preserve"> (B816) bevételi előirányzata 556.000 Ft-tal nő.</w:t>
      </w:r>
      <w:r w:rsidR="00DA3454">
        <w:t xml:space="preserve"> </w:t>
      </w:r>
      <w:r w:rsidR="00DA3454">
        <w:t xml:space="preserve">Ennek hatására az Önkormányzat költségvetésében az általános tartalék </w:t>
      </w:r>
      <w:r w:rsidR="00DA3454">
        <w:t>556.00</w:t>
      </w:r>
      <w:r w:rsidR="00DA3454">
        <w:t>0 Ft-tal csökken.</w:t>
      </w:r>
    </w:p>
    <w:p w14:paraId="530A1F64" w14:textId="2106E6EB" w:rsidR="00483C37" w:rsidRDefault="00483C37" w:rsidP="00483C37">
      <w:pPr>
        <w:pStyle w:val="Listaszerbekezds"/>
        <w:ind w:left="426" w:hanging="426"/>
      </w:pPr>
      <w:r>
        <w:t>A 2023. március 02-án tartott rendkívüli testületi ülésen elfogadásra került az étkezési térítési díj módosítása, mely alapján az intézmény vásárolt élelmezés költsége 6.940.296 Ft-tal</w:t>
      </w:r>
      <w:r w:rsidR="003F2B9A">
        <w:t>, a térítési díj bevétele 201.168 Ft-tal</w:t>
      </w:r>
      <w:r>
        <w:t xml:space="preserve"> nő.</w:t>
      </w:r>
    </w:p>
    <w:p w14:paraId="5889825B" w14:textId="4854795D" w:rsidR="00DA3454" w:rsidRDefault="00483C37" w:rsidP="00DA3454">
      <w:r>
        <w:t xml:space="preserve">Ezért az intézmény költségvetésében a </w:t>
      </w:r>
      <w:r w:rsidRPr="00483C37">
        <w:t>Gyermekétkeztetés köznevelési intézményben</w:t>
      </w:r>
      <w:r>
        <w:t xml:space="preserve"> (096015-Köt.) kormányzati funkción a </w:t>
      </w:r>
      <w:r w:rsidRPr="00483C37">
        <w:t xml:space="preserve">Vásárolt élelmezés </w:t>
      </w:r>
      <w:r>
        <w:t xml:space="preserve">(K332) kiadási előirányzatát 5.464.800 Ft-tal, a </w:t>
      </w:r>
      <w:r w:rsidRPr="00483C37">
        <w:t>Működési célú előzetesen felszámított általános forgalmi adó</w:t>
      </w:r>
      <w:r>
        <w:t xml:space="preserve"> (K351) kiadási előirányzatát </w:t>
      </w:r>
      <w:r w:rsidR="0091165D">
        <w:t>1.475.496</w:t>
      </w:r>
      <w:r>
        <w:t xml:space="preserve"> Ft-tal</w:t>
      </w:r>
      <w:r w:rsidR="003F2B9A">
        <w:t xml:space="preserve">, </w:t>
      </w:r>
      <w:r>
        <w:t>a</w:t>
      </w:r>
      <w:r w:rsidR="003F2B9A">
        <w:t>z</w:t>
      </w:r>
      <w:r>
        <w:t xml:space="preserve"> </w:t>
      </w:r>
      <w:r w:rsidR="003F2B9A" w:rsidRPr="003F2B9A">
        <w:t>Ellátási díjak</w:t>
      </w:r>
      <w:r w:rsidR="003F2B9A">
        <w:t xml:space="preserve"> (B405) bevételi előirányzatát 158.400 Ft-tal, a </w:t>
      </w:r>
      <w:r w:rsidR="003F2B9A" w:rsidRPr="003F2B9A">
        <w:t>Kiszámlázott általános forgalmi adó</w:t>
      </w:r>
      <w:r w:rsidR="003F2B9A">
        <w:t xml:space="preserve"> (B406) bevételi előirányzatát 42.768 Ft-tal javaslom megnövelni. Ezzel egyidőben a </w:t>
      </w:r>
      <w:r w:rsidRPr="001C173B">
        <w:t>Támogatási célú finanszírozási műveletek</w:t>
      </w:r>
      <w:r>
        <w:t xml:space="preserve"> (018030-Köt.) kormányzati funkción a </w:t>
      </w:r>
      <w:r w:rsidRPr="001C173B">
        <w:t>Központi, irányító szervi támogatás</w:t>
      </w:r>
      <w:r>
        <w:t xml:space="preserve"> (B816) bevételi előirányzata </w:t>
      </w:r>
      <w:r w:rsidR="0091165D">
        <w:t>6.</w:t>
      </w:r>
      <w:r w:rsidR="003F2B9A">
        <w:t>739.128</w:t>
      </w:r>
      <w:r>
        <w:t xml:space="preserve"> Ft-tal nő.</w:t>
      </w:r>
      <w:r w:rsidR="00DA3454">
        <w:t xml:space="preserve"> </w:t>
      </w:r>
      <w:r w:rsidR="00DA3454">
        <w:t xml:space="preserve">Ennek hatására az Önkormányzat költségvetésében az általános tartalék </w:t>
      </w:r>
      <w:r w:rsidR="00DA3454">
        <w:t>6.739.128</w:t>
      </w:r>
      <w:r w:rsidR="00DA3454">
        <w:t xml:space="preserve"> Ft-tal csökken.</w:t>
      </w:r>
    </w:p>
    <w:p w14:paraId="4A62E5DF" w14:textId="4218DEDF" w:rsidR="00D0249C" w:rsidRDefault="00D0249C" w:rsidP="00D0249C">
      <w:pPr>
        <w:pStyle w:val="Listaszerbekezds"/>
        <w:ind w:left="426" w:hanging="426"/>
      </w:pPr>
      <w:r>
        <w:t xml:space="preserve">Az intézményvezető kérelemmel fordult hozzám, azzal kapcsolatban, hogy szakmai kirándulást szeretnének szervezni, amellyel kapcsolatos buszköltségre támogatást kér.  A </w:t>
      </w:r>
      <w:r>
        <w:lastRenderedPageBreak/>
        <w:t>korábbi években rendszeresen megszervezésre került hasonló kirándulás</w:t>
      </w:r>
      <w:r w:rsidR="00251E9D">
        <w:t xml:space="preserve">. 2022. évben az előirányzat biztosítva volt, </w:t>
      </w:r>
      <w:r>
        <w:t>azonban a gazdasági helyzet miatt ez elmaradt</w:t>
      </w:r>
      <w:r w:rsidR="00251E9D">
        <w:t>. Idén</w:t>
      </w:r>
      <w:r>
        <w:t xml:space="preserve"> az eredeti költségvetésben ennek kiadási előirányzata nem került tervezésre. </w:t>
      </w:r>
      <w:r w:rsidR="00251E9D">
        <w:t xml:space="preserve">Fentiek miatt </w:t>
      </w:r>
      <w:r>
        <w:t>javaslom az alábbi költségvetés módosítás elfogadását.</w:t>
      </w:r>
    </w:p>
    <w:p w14:paraId="5F351113" w14:textId="1CA98ADC" w:rsidR="00DA3454" w:rsidRDefault="00D0249C" w:rsidP="00DA3454">
      <w:r>
        <w:t xml:space="preserve">Az intézmény költségvetésében az </w:t>
      </w:r>
      <w:r w:rsidRPr="00D0249C">
        <w:t>Óvodai nevelés, ellátás szakmai feladatai</w:t>
      </w:r>
      <w:r>
        <w:t xml:space="preserve"> (091110-Köt.) kormányzati funkción az </w:t>
      </w:r>
      <w:r w:rsidRPr="00D0249C">
        <w:t>Egyéb külső személyi juttatások</w:t>
      </w:r>
      <w:r w:rsidR="00251E9D">
        <w:t xml:space="preserve"> (K123) kiadási előirányzatát </w:t>
      </w:r>
      <w:r w:rsidR="003D4109">
        <w:t xml:space="preserve">125.984 Ft-tal, a </w:t>
      </w:r>
      <w:r w:rsidR="003D4109" w:rsidRPr="003D4109">
        <w:t>Munkaadókat terhelő járulékok és szociális hozzájárulási adó</w:t>
      </w:r>
      <w:r w:rsidR="003D4109">
        <w:t xml:space="preserve"> (K2) kiadási előirányzatát 52.864 Ft-tal, a </w:t>
      </w:r>
      <w:r w:rsidR="003D4109" w:rsidRPr="003D4109">
        <w:t>Működési célú előzetesen felszámított általános forgalmi adó</w:t>
      </w:r>
      <w:r w:rsidR="003D4109">
        <w:t xml:space="preserve"> (K351) kiadási előirányzatát 34.016 Ft-tal javaslom megemelni. Ezzel egyidőben a </w:t>
      </w:r>
      <w:r w:rsidR="003D4109" w:rsidRPr="001C173B">
        <w:t>Támogatási célú finanszírozási műveletek</w:t>
      </w:r>
      <w:r w:rsidR="003D4109">
        <w:t xml:space="preserve"> (018030-Köt.) kormányzati funkción a </w:t>
      </w:r>
      <w:r w:rsidR="003D4109" w:rsidRPr="001C173B">
        <w:t>Központi, irányító szervi támogatás</w:t>
      </w:r>
      <w:r w:rsidR="003D4109">
        <w:t xml:space="preserve"> (B816) bevételi előirányzata 212.864 Ft-tal nő.</w:t>
      </w:r>
      <w:r w:rsidR="00DA3454">
        <w:t xml:space="preserve"> </w:t>
      </w:r>
      <w:r w:rsidR="00DA3454">
        <w:t xml:space="preserve">Ennek hatására az Önkormányzat költségvetésében az általános tartalék </w:t>
      </w:r>
      <w:r w:rsidR="00DA3454">
        <w:t>212</w:t>
      </w:r>
      <w:r w:rsidR="00DA3454">
        <w:t>.</w:t>
      </w:r>
      <w:r w:rsidR="00DA3454">
        <w:t>864</w:t>
      </w:r>
      <w:r w:rsidR="00DA3454">
        <w:t xml:space="preserve"> Ft-tal csökken.</w:t>
      </w:r>
    </w:p>
    <w:p w14:paraId="0CEE7625" w14:textId="11DCFEEA" w:rsidR="003D4109" w:rsidRDefault="003D4109" w:rsidP="003D4109"/>
    <w:p w14:paraId="44D7E766" w14:textId="47311871" w:rsidR="00A070CE" w:rsidRDefault="00A070CE" w:rsidP="00A070CE">
      <w:pPr>
        <w:pStyle w:val="Intzmny"/>
      </w:pPr>
      <w:r>
        <w:t>V</w:t>
      </w:r>
      <w:r w:rsidRPr="006A495C">
        <w:t>. Tiszavasvári Polgármesteri Hivatal</w:t>
      </w:r>
    </w:p>
    <w:p w14:paraId="4344B7B2" w14:textId="137F2876" w:rsidR="00870F6E" w:rsidRDefault="00136169" w:rsidP="00431972">
      <w:pPr>
        <w:pStyle w:val="Listaszerbekezds"/>
        <w:numPr>
          <w:ilvl w:val="0"/>
          <w:numId w:val="33"/>
        </w:numPr>
        <w:ind w:left="426" w:hanging="426"/>
      </w:pPr>
      <w:r>
        <w:t xml:space="preserve">A hivatalnak lehetősége volt GINOP pályázatot benyújtani, melynek keretében </w:t>
      </w:r>
      <w:r w:rsidR="0076449B">
        <w:t xml:space="preserve">két - hosszú évek óta közfoglalkoztatási státuszban foglalkoztatott - munkavállaló került felvételre </w:t>
      </w:r>
      <w:r w:rsidR="00442AB1">
        <w:t>a hivatalnál határozott időre</w:t>
      </w:r>
      <w:r w:rsidR="00DA3454">
        <w:t xml:space="preserve"> 3 hónapra tovább foglalkoztatási kötelezettség nélkül</w:t>
      </w:r>
      <w:r w:rsidR="00442AB1">
        <w:t>.</w:t>
      </w:r>
      <w:r w:rsidR="00870F6E">
        <w:t xml:space="preserve"> A pályázat a bért és a hozzá kapcsolódó járulékot 100%-ban fedezi, így a Hivatalunk 1.557.418 Ft támogatásban részesül.</w:t>
      </w:r>
    </w:p>
    <w:p w14:paraId="78E1DC65" w14:textId="09CD9C14" w:rsidR="00870F6E" w:rsidRDefault="00870F6E" w:rsidP="00870F6E">
      <w:r>
        <w:t xml:space="preserve">Ezért a Hivatal költségvetésében az </w:t>
      </w:r>
      <w:r w:rsidRPr="00870F6E">
        <w:t>Önkormányzatok és önkormányzati hivatalok jogalkotó és általános igazgatási tevékenysége</w:t>
      </w:r>
      <w:r>
        <w:t xml:space="preserve"> (011130-Áig) kormányzati funkción a </w:t>
      </w:r>
      <w:r w:rsidRPr="00870F6E">
        <w:t>Törvény szerinti illetmények, munkabérek</w:t>
      </w:r>
      <w:r>
        <w:t xml:space="preserve"> (K1101) kiadási előirányzatát 1.378.246 Ft-tal a </w:t>
      </w:r>
      <w:r w:rsidRPr="00870F6E">
        <w:t>Munkaadókat terhelő járulékok és szociális hozzájárulási adó</w:t>
      </w:r>
      <w:r>
        <w:t xml:space="preserve"> (K2) kiadási előirányzatát 179.172 Ft-tal javaslom megemelni, ezzel egyidőben az </w:t>
      </w:r>
      <w:r w:rsidRPr="00870F6E">
        <w:t>Egyéb működési célú támogatások bevételei államháztartáson belülről</w:t>
      </w:r>
      <w:r>
        <w:t xml:space="preserve"> (B16) bevételi előirányzata 1.557.418 Ft-tal nő.</w:t>
      </w:r>
    </w:p>
    <w:p w14:paraId="73BB018B" w14:textId="5A21D4BE" w:rsidR="0091165D" w:rsidRPr="00EC0153" w:rsidRDefault="0091165D" w:rsidP="0091165D">
      <w:pPr>
        <w:pStyle w:val="Listaszerbekezds"/>
        <w:ind w:left="426" w:hanging="426"/>
      </w:pPr>
      <w:r w:rsidRPr="00EC0153">
        <w:t>A 2023. március 02-án tartott rendkívüli testületi ülésen elfogadásra került az étkezési térítési díj módosítása, mely alapján az intézmény vásárolt élelmezés költsége 40.02</w:t>
      </w:r>
      <w:r w:rsidR="00EC0153" w:rsidRPr="00EC0153">
        <w:t>9</w:t>
      </w:r>
      <w:r w:rsidRPr="00EC0153">
        <w:t xml:space="preserve">.105 Ft-tal </w:t>
      </w:r>
      <w:r w:rsidR="003F2B9A" w:rsidRPr="00EC0153">
        <w:t>a térítési díj bevétele 7.978.559 Ft-tal nő.</w:t>
      </w:r>
    </w:p>
    <w:p w14:paraId="270742A8" w14:textId="4D2BC3EB" w:rsidR="00060E99" w:rsidRDefault="0091165D" w:rsidP="00060E99">
      <w:r w:rsidRPr="00EC0153">
        <w:t xml:space="preserve">Ezért az intézmény költségvetésében a Gyermekétkeztetés köznevelési intézményben (096015-Köt.) kormányzati funkción a Vásárolt élelmezés (K332) kiadási előirányzatát 31.518.980 Ft-tal, a Működési célú előzetesen felszámított általános forgalmi adó (K351) kiadási előirányzatát </w:t>
      </w:r>
      <w:r w:rsidR="003F2B9A" w:rsidRPr="00EC0153">
        <w:t>8.510.125 Ft-tal, az Ellátási díjak (B405) bevételi előirányzatát 6.282.330 Ft-tal, a Kiszámlázott általános forgalmi adó (B406) bevételi előirányzatát 1.696.229 Ft-tal javaslom megnövelni. Ezzel egyidőben a Támogatási célú finanszírozási műveletek (018030-Köt.) kormányzati funkción a Központi, irányító szervi támogatás (B816) bevételi előirányzata 32.0</w:t>
      </w:r>
      <w:r w:rsidR="00EC0153" w:rsidRPr="00EC0153">
        <w:t>50</w:t>
      </w:r>
      <w:r w:rsidR="003F2B9A" w:rsidRPr="00EC0153">
        <w:t>.546 Ft-tal nő.</w:t>
      </w:r>
      <w:r>
        <w:t xml:space="preserve"> </w:t>
      </w:r>
      <w:r w:rsidR="00870F6E">
        <w:t xml:space="preserve"> </w:t>
      </w:r>
      <w:r w:rsidR="00060E99">
        <w:t xml:space="preserve">Ennek hatására az Önkormányzat költségvetésében az általános tartalék </w:t>
      </w:r>
      <w:r w:rsidR="00060E99">
        <w:t xml:space="preserve">32.050.546 </w:t>
      </w:r>
      <w:r w:rsidR="00060E99">
        <w:t>Ft-tal csökken.</w:t>
      </w:r>
    </w:p>
    <w:p w14:paraId="46026DDF" w14:textId="7EE0D84E" w:rsidR="00D20152" w:rsidRDefault="00D20152" w:rsidP="00D20152">
      <w:pPr>
        <w:pStyle w:val="Listaszerbekezds"/>
        <w:ind w:left="426" w:hanging="426"/>
      </w:pPr>
      <w:r>
        <w:t>Az intézménynél beszámoló javítása volt szükséges, mert az átfutó tételek egyeztetésekor megállapításra került, hogy egy tétel betegszabadság helyett táppénzként került könyvelésre. A tétel helyesbítésének következtében az eredeti költségvetésben betervezett pénzmaradvány változott, így az előirányzatot szükséges módosítani.</w:t>
      </w:r>
    </w:p>
    <w:p w14:paraId="2307F21A" w14:textId="28F404E9" w:rsidR="00060E99" w:rsidRDefault="00D20152" w:rsidP="00060E99">
      <w:r>
        <w:t xml:space="preserve">Ezért a hivatal költségvetésében a </w:t>
      </w:r>
      <w:r w:rsidRPr="00D20152">
        <w:t>Támogatási célú finanszírozási műveletek</w:t>
      </w:r>
      <w:r>
        <w:t xml:space="preserve"> (018030-Köt.) kormányzati funkción az </w:t>
      </w:r>
      <w:r w:rsidRPr="00D20152">
        <w:t>Előző év költségvetési maradványának igénybevétele</w:t>
      </w:r>
      <w:r>
        <w:t xml:space="preserve"> (B8131) bevételi előirányzatát javaslom megemelni 13.211 Ft-tal. Ezzel egyidőben a </w:t>
      </w:r>
      <w:r w:rsidRPr="001C173B">
        <w:lastRenderedPageBreak/>
        <w:t>Támogatási célú finanszírozási műveletek</w:t>
      </w:r>
      <w:r>
        <w:t xml:space="preserve"> (018030-Köt.) kormányzati funkción a </w:t>
      </w:r>
      <w:r w:rsidRPr="001C173B">
        <w:t>Központi, irányító szervi támogatás</w:t>
      </w:r>
      <w:r>
        <w:t xml:space="preserve"> (B816) bevételi előirányzata 13.211 Ft-tal </w:t>
      </w:r>
      <w:r w:rsidR="00E26CEC">
        <w:t>csökken</w:t>
      </w:r>
      <w:r>
        <w:t xml:space="preserve">.  </w:t>
      </w:r>
      <w:r w:rsidR="00060E99">
        <w:t xml:space="preserve">Ennek hatására az Önkormányzat költségvetésében az általános tartalék </w:t>
      </w:r>
      <w:r w:rsidR="00E26CEC">
        <w:t>13.211</w:t>
      </w:r>
      <w:r w:rsidR="00060E99">
        <w:t xml:space="preserve"> Ft-tal </w:t>
      </w:r>
      <w:r w:rsidR="00E26CEC">
        <w:t>nő</w:t>
      </w:r>
      <w:r w:rsidR="00060E99">
        <w:t>.</w:t>
      </w:r>
    </w:p>
    <w:p w14:paraId="12D7289E" w14:textId="02DFA039" w:rsidR="00D20152" w:rsidRDefault="00D20152" w:rsidP="00D20152"/>
    <w:p w14:paraId="343E9CD3" w14:textId="77777777" w:rsidR="00D20152" w:rsidRPr="00D20152" w:rsidRDefault="00D20152" w:rsidP="00D20152"/>
    <w:p w14:paraId="156A2290" w14:textId="1E8600F3" w:rsidR="00383479" w:rsidRDefault="00152D09" w:rsidP="00313B26">
      <w:pPr>
        <w:pStyle w:val="Intzmny"/>
      </w:pPr>
      <w:r w:rsidRPr="006A495C">
        <w:t>V</w:t>
      </w:r>
      <w:r w:rsidR="00564DDF" w:rsidRPr="006A495C">
        <w:t>I</w:t>
      </w:r>
      <w:r w:rsidRPr="006A495C">
        <w:t>. Tiszavasvári Város Önkormányzata</w:t>
      </w:r>
    </w:p>
    <w:p w14:paraId="15DF3C40" w14:textId="322F252A" w:rsidR="00313B26" w:rsidRDefault="00313B26" w:rsidP="00136169">
      <w:pPr>
        <w:pStyle w:val="Listaszerbekezds"/>
        <w:numPr>
          <w:ilvl w:val="0"/>
          <w:numId w:val="32"/>
        </w:numPr>
        <w:ind w:left="426" w:hanging="426"/>
      </w:pPr>
      <w:r>
        <w:t>Önkormányzatunk támogatási okirat alapján „</w:t>
      </w:r>
      <w:r w:rsidRPr="00313B26">
        <w:t>Belterületi utak fejlesztése Tiszavasváriban - TOP_PLUSZ-1.2.3-21-SB1-2022-00040</w:t>
      </w:r>
      <w:r>
        <w:t>” pályázat keretében 197.264.096 Ft vissza nem térítendő támogat</w:t>
      </w:r>
      <w:r w:rsidR="00D833C9">
        <w:t xml:space="preserve">ásban részesül. Ezért szükséges a bevételi és kiadási előirányzatok betervezése. Mivel a projektelőkészítő tervek már 2022. évben elkészültek és kifizetésre is kerültek ezért azt kiadás oldalon nem szükséges tervezni. Ezért az alábbi táblázat szerinti módosítás </w:t>
      </w:r>
      <w:r w:rsidR="0037029A">
        <w:t xml:space="preserve">elfogadását javaslom. </w:t>
      </w:r>
    </w:p>
    <w:tbl>
      <w:tblPr>
        <w:tblW w:w="8720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6263"/>
        <w:gridCol w:w="1637"/>
      </w:tblGrid>
      <w:tr w:rsidR="00D833C9" w:rsidRPr="00D833C9" w14:paraId="2758CFE5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53462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045110</w:t>
            </w:r>
          </w:p>
        </w:tc>
        <w:tc>
          <w:tcPr>
            <w:tcW w:w="7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0877323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Közúti közlekedés igazgatása és támogatása</w:t>
            </w:r>
          </w:p>
        </w:tc>
      </w:tr>
      <w:tr w:rsidR="00D833C9" w:rsidRPr="00D833C9" w14:paraId="21451F82" w14:textId="77777777" w:rsidTr="00D833C9">
        <w:trPr>
          <w:trHeight w:val="525"/>
          <w:jc w:val="right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574A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K122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D7637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 xml:space="preserve"> Munkavégzésre irányuló egyéb jogviszonyban nem saját foglalkoztatottnak fizetett juttatások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D0EFF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2 954 342</w:t>
            </w:r>
          </w:p>
        </w:tc>
      </w:tr>
      <w:tr w:rsidR="00D833C9" w:rsidRPr="00D833C9" w14:paraId="301590FC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D69404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9F95CD6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D833C9">
              <w:rPr>
                <w:b/>
                <w:bCs/>
                <w:sz w:val="20"/>
              </w:rPr>
              <w:t>Személyi juttatások összesen: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3E6B2920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2 954 342</w:t>
            </w:r>
          </w:p>
        </w:tc>
      </w:tr>
      <w:tr w:rsidR="00D833C9" w:rsidRPr="00D833C9" w14:paraId="7FA96BF3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DDA7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K2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F1BCC" w14:textId="6B893089" w:rsidR="00D833C9" w:rsidRPr="00D833C9" w:rsidRDefault="0037029A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37029A">
              <w:rPr>
                <w:b/>
                <w:bCs/>
                <w:sz w:val="20"/>
                <w:u w:val="single"/>
              </w:rPr>
              <w:t>Munkaadókat terhelő járulékok és szociális hozzájárulási adó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A2990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345 658</w:t>
            </w:r>
          </w:p>
        </w:tc>
      </w:tr>
      <w:tr w:rsidR="00D833C9" w:rsidRPr="00D833C9" w14:paraId="213B6420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19F462F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6544B1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D833C9">
              <w:rPr>
                <w:b/>
                <w:bCs/>
                <w:sz w:val="20"/>
              </w:rPr>
              <w:t>Munkaadókat terhelő jár össz.: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AD2BA22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345 658</w:t>
            </w:r>
          </w:p>
        </w:tc>
      </w:tr>
      <w:tr w:rsidR="00D833C9" w:rsidRPr="00D833C9" w14:paraId="55D5BFA4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D4D2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K336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D7B25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Szakmai tevékenységet segítő szolgáltatások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A01D9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936 378</w:t>
            </w:r>
          </w:p>
        </w:tc>
      </w:tr>
      <w:tr w:rsidR="00D833C9" w:rsidRPr="00D833C9" w14:paraId="7D2150AC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E04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K342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1ACF20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Reklám- és propagandakiadások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8E0B4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614 331</w:t>
            </w:r>
          </w:p>
        </w:tc>
      </w:tr>
      <w:tr w:rsidR="00D833C9" w:rsidRPr="00D833C9" w14:paraId="4C1CFFC6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DD49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K351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5E44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Működési célú előzetesen felszámított általános forgalmi adó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45350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359 291</w:t>
            </w:r>
          </w:p>
        </w:tc>
      </w:tr>
      <w:tr w:rsidR="00D833C9" w:rsidRPr="00D833C9" w14:paraId="6C3C9183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355C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K352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4C983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Fizetendő általános forgalmi adó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37E2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0</w:t>
            </w:r>
          </w:p>
        </w:tc>
      </w:tr>
      <w:tr w:rsidR="00D833C9" w:rsidRPr="00D833C9" w14:paraId="5029358A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3085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K355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D47B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Egyéb dologi kiadások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60D4D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40 000</w:t>
            </w:r>
          </w:p>
        </w:tc>
      </w:tr>
      <w:tr w:rsidR="00D833C9" w:rsidRPr="00D833C9" w14:paraId="29D22448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F7BE8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6563C1B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D833C9">
              <w:rPr>
                <w:b/>
                <w:bCs/>
                <w:sz w:val="20"/>
              </w:rPr>
              <w:t>Dologi kiadás összesen: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54CAE93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1 950 000</w:t>
            </w:r>
          </w:p>
        </w:tc>
      </w:tr>
      <w:tr w:rsidR="00D833C9" w:rsidRPr="00D833C9" w14:paraId="24487C65" w14:textId="77777777" w:rsidTr="00D833C9">
        <w:trPr>
          <w:trHeight w:val="6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6A0B0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>K71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0F8B87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Ingatlanok felújítása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8A32C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151 034 721</w:t>
            </w:r>
          </w:p>
        </w:tc>
      </w:tr>
      <w:tr w:rsidR="00D833C9" w:rsidRPr="00D833C9" w14:paraId="6CE02625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E505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bookmarkStart w:id="1" w:name="_Hlk129687126"/>
            <w:r w:rsidRPr="00D833C9">
              <w:rPr>
                <w:sz w:val="20"/>
              </w:rPr>
              <w:t>K74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69862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Felújítási célú előzetesen felszámított általános forgalmi adó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0977B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40 779 375</w:t>
            </w:r>
          </w:p>
        </w:tc>
      </w:tr>
      <w:bookmarkEnd w:id="1"/>
      <w:tr w:rsidR="00D833C9" w:rsidRPr="00D833C9" w14:paraId="4BA2F4D9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E2438D3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EA4D954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D833C9">
              <w:rPr>
                <w:b/>
                <w:bCs/>
                <w:sz w:val="20"/>
              </w:rPr>
              <w:t>Felújítási kiadás összesen: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5327443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191 814 096</w:t>
            </w:r>
          </w:p>
        </w:tc>
      </w:tr>
      <w:tr w:rsidR="00D833C9" w:rsidRPr="00D833C9" w14:paraId="375F7134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597FFC0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i/>
                <w:iCs/>
                <w:sz w:val="20"/>
              </w:rPr>
            </w:pPr>
            <w:r w:rsidRPr="00D833C9">
              <w:rPr>
                <w:i/>
                <w:iCs/>
                <w:sz w:val="20"/>
              </w:rPr>
              <w:t> 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33B3732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D833C9">
              <w:rPr>
                <w:b/>
                <w:bCs/>
                <w:i/>
                <w:iCs/>
                <w:sz w:val="20"/>
              </w:rPr>
              <w:t>KIADÁS ÖSSZESEN: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1C1802F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197 064 096</w:t>
            </w:r>
          </w:p>
        </w:tc>
      </w:tr>
      <w:tr w:rsidR="00D833C9" w:rsidRPr="00D833C9" w14:paraId="7819D040" w14:textId="77777777" w:rsidTr="00D833C9">
        <w:trPr>
          <w:trHeight w:val="300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A178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B16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60AB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Egyéb működési célú támogatások bevételei államháztartáson belülről: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2656D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5 250 000</w:t>
            </w:r>
          </w:p>
        </w:tc>
      </w:tr>
      <w:tr w:rsidR="00D833C9" w:rsidRPr="00D833C9" w14:paraId="2198B637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164C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D833C9">
              <w:rPr>
                <w:sz w:val="20"/>
              </w:rPr>
              <w:t xml:space="preserve"> B25 </w:t>
            </w:r>
          </w:p>
        </w:tc>
        <w:tc>
          <w:tcPr>
            <w:tcW w:w="6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1C94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D833C9">
              <w:rPr>
                <w:b/>
                <w:bCs/>
                <w:sz w:val="20"/>
                <w:u w:val="single"/>
              </w:rPr>
              <w:t>Egyéb felhalmozási célú támogatások bevételei államháztartáson belülről</w:t>
            </w:r>
          </w:p>
        </w:tc>
        <w:tc>
          <w:tcPr>
            <w:tcW w:w="16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831BB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D833C9">
              <w:rPr>
                <w:sz w:val="22"/>
                <w:szCs w:val="22"/>
              </w:rPr>
              <w:t>192 014 096</w:t>
            </w:r>
          </w:p>
        </w:tc>
      </w:tr>
      <w:tr w:rsidR="00D833C9" w:rsidRPr="00D833C9" w14:paraId="4A69E6C9" w14:textId="77777777" w:rsidTr="00D833C9">
        <w:trPr>
          <w:trHeight w:val="315"/>
          <w:jc w:val="right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A93294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i/>
                <w:iCs/>
                <w:sz w:val="20"/>
              </w:rPr>
            </w:pPr>
            <w:r w:rsidRPr="00D833C9">
              <w:rPr>
                <w:i/>
                <w:iCs/>
                <w:sz w:val="20"/>
              </w:rPr>
              <w:t> </w:t>
            </w:r>
          </w:p>
        </w:tc>
        <w:tc>
          <w:tcPr>
            <w:tcW w:w="62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AA4808E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D833C9">
              <w:rPr>
                <w:b/>
                <w:bCs/>
                <w:i/>
                <w:iCs/>
                <w:sz w:val="20"/>
              </w:rPr>
              <w:t>BEVÉTEL ÖSSZESEN: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13E4C518" w14:textId="77777777" w:rsidR="00D833C9" w:rsidRPr="00D833C9" w:rsidRDefault="00D833C9" w:rsidP="00D833C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D833C9">
              <w:rPr>
                <w:b/>
                <w:bCs/>
                <w:sz w:val="22"/>
                <w:szCs w:val="22"/>
              </w:rPr>
              <w:t>197 264 096</w:t>
            </w:r>
          </w:p>
        </w:tc>
      </w:tr>
    </w:tbl>
    <w:p w14:paraId="08F9EE9D" w14:textId="7E613258" w:rsidR="00A94E0E" w:rsidRPr="00A94E0E" w:rsidRDefault="00C27442" w:rsidP="002521E8">
      <w:pPr>
        <w:pStyle w:val="Listaszerbekezds"/>
        <w:ind w:left="426" w:hanging="426"/>
      </w:pPr>
      <w:r>
        <w:t>A</w:t>
      </w:r>
      <w:r w:rsidRPr="00C27442">
        <w:t xml:space="preserve"> minimálbér és garantált bérminimum, valamint a pedagógusok bérének 2023. január 1-jétől történő emeléséhez a települési önkormányzatok számára biztosítandó támogatásról</w:t>
      </w:r>
      <w:r>
        <w:t xml:space="preserve"> szóló </w:t>
      </w:r>
      <w:r w:rsidRPr="00C27442">
        <w:t>68/2023. (III. 10.) Korm. rendelet</w:t>
      </w:r>
      <w:r>
        <w:t xml:space="preserve"> alapján Önkormányzatunk összesen 125.047.140 Ft kiegészítő támogatásban részesül. Mivel a béreket már az eredeti költségvetésben az emelt összegekkel volt szükséges betervezni, ezért a többlettámogatásból az Önkormányzat kiegészítő támogatási igényét célszerű csökkenteni. </w:t>
      </w:r>
      <w:r w:rsidR="00563305">
        <w:t xml:space="preserve">Azonban a 2023. március 02-án tartott rendkívüli testületi ülésen elfogadásra került az étkezési térítési </w:t>
      </w:r>
      <w:r w:rsidR="009A7D55">
        <w:t xml:space="preserve">díj módosítása és a gyermekétkeztetési szerződés módosítása. Ennek hatására az érintett intézményeknél összesen 40.605.328 Ft többletkiadás keletkezik, melyre feladatalapú támogatást majd csak május hónapban tudunk igényelni, viszont a szerződés aláírása miatt szükséges az előirányzatot biztosítani. Fentiek miatt a kiegészítő támogatási igényt </w:t>
      </w:r>
      <w:r w:rsidR="009A7D55">
        <w:lastRenderedPageBreak/>
        <w:t xml:space="preserve">84.441.812 Ft-tal indokolt csökkenteni, míg a fennmaradt összeg jelen pontban az általános   tartalékot növeli. </w:t>
      </w:r>
      <w:r>
        <w:t>Emiatt az alábbi táblázat szerinti módosítást javaslom elfogadni:</w:t>
      </w:r>
    </w:p>
    <w:tbl>
      <w:tblPr>
        <w:tblW w:w="8397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21"/>
        <w:gridCol w:w="821"/>
        <w:gridCol w:w="821"/>
        <w:gridCol w:w="821"/>
        <w:gridCol w:w="821"/>
        <w:gridCol w:w="1772"/>
        <w:gridCol w:w="1560"/>
      </w:tblGrid>
      <w:tr w:rsidR="00C27442" w:rsidRPr="00C27442" w14:paraId="02CDBA9B" w14:textId="77777777" w:rsidTr="00C27442">
        <w:trPr>
          <w:trHeight w:val="300"/>
          <w:jc w:val="right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3C3C6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C27442">
              <w:rPr>
                <w:b/>
                <w:bCs/>
                <w:sz w:val="22"/>
                <w:szCs w:val="22"/>
              </w:rPr>
              <w:t>018010</w:t>
            </w:r>
          </w:p>
        </w:tc>
        <w:tc>
          <w:tcPr>
            <w:tcW w:w="5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77F8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C27442">
              <w:rPr>
                <w:b/>
                <w:bCs/>
                <w:sz w:val="22"/>
                <w:szCs w:val="22"/>
              </w:rPr>
              <w:t>Önkormányzatok elszámolásai a központi költségvetéssel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3471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C27442" w:rsidRPr="00C27442" w14:paraId="57E8312B" w14:textId="77777777" w:rsidTr="00C27442">
        <w:trPr>
          <w:trHeight w:val="315"/>
          <w:jc w:val="right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80FC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D11A0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FBF1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E11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F334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1AB6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85AC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4CAE3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</w:tr>
      <w:tr w:rsidR="00C27442" w:rsidRPr="00C27442" w14:paraId="112A8519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33324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B111 </w:t>
            </w:r>
          </w:p>
        </w:tc>
        <w:tc>
          <w:tcPr>
            <w:tcW w:w="587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BD8A80" w14:textId="314C1111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b/>
                <w:bCs/>
                <w:sz w:val="20"/>
                <w:u w:val="single"/>
              </w:rPr>
              <w:t>1.1 Helyi önkormányzatok működésének általános támogatása:</w:t>
            </w:r>
            <w:r w:rsidRPr="00C27442">
              <w:rPr>
                <w:sz w:val="20"/>
              </w:rPr>
              <w:t xml:space="preserve"> </w:t>
            </w:r>
            <w:r w:rsidRPr="00C27442">
              <w:rPr>
                <w:b/>
                <w:bCs/>
                <w:sz w:val="20"/>
              </w:rPr>
              <w:t>Kötelező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77209A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10 772 160</w:t>
            </w:r>
          </w:p>
        </w:tc>
      </w:tr>
      <w:tr w:rsidR="00C27442" w:rsidRPr="00C27442" w14:paraId="37DC57FE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0B8B2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B112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FA495F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b/>
                <w:bCs/>
                <w:sz w:val="20"/>
                <w:u w:val="single"/>
              </w:rPr>
              <w:t>1.2 Települési önkormányzatok egyes köznevelési feladatainak támogatása:</w:t>
            </w:r>
            <w:r w:rsidRPr="00C27442">
              <w:rPr>
                <w:sz w:val="20"/>
              </w:rPr>
              <w:t xml:space="preserve"> </w:t>
            </w:r>
            <w:r w:rsidRPr="00C27442">
              <w:rPr>
                <w:b/>
                <w:bCs/>
                <w:sz w:val="20"/>
              </w:rPr>
              <w:t>Kötelező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DDB102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35 794 691</w:t>
            </w:r>
          </w:p>
        </w:tc>
      </w:tr>
      <w:tr w:rsidR="00C27442" w:rsidRPr="00C27442" w14:paraId="39386749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882F1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B1131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341EF4" w14:textId="2C78E19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C27442">
              <w:rPr>
                <w:b/>
                <w:bCs/>
                <w:sz w:val="20"/>
                <w:u w:val="single"/>
              </w:rPr>
              <w:t xml:space="preserve">1.3.2.1-1.3.2.6 Települési önkormányzatok </w:t>
            </w:r>
            <w:r w:rsidR="005B05B1">
              <w:rPr>
                <w:b/>
                <w:bCs/>
                <w:sz w:val="20"/>
                <w:u w:val="single"/>
              </w:rPr>
              <w:t xml:space="preserve">egyes </w:t>
            </w:r>
            <w:r w:rsidRPr="00C27442">
              <w:rPr>
                <w:b/>
                <w:bCs/>
                <w:sz w:val="20"/>
                <w:u w:val="single"/>
              </w:rPr>
              <w:t>szociális</w:t>
            </w:r>
            <w:r w:rsidR="005B05B1">
              <w:rPr>
                <w:b/>
                <w:bCs/>
                <w:sz w:val="20"/>
                <w:u w:val="single"/>
              </w:rPr>
              <w:t xml:space="preserve"> és </w:t>
            </w:r>
            <w:r w:rsidRPr="00C27442">
              <w:rPr>
                <w:b/>
                <w:bCs/>
                <w:sz w:val="20"/>
                <w:u w:val="single"/>
              </w:rPr>
              <w:t>gyermekjóléti feladatainak támogatása:</w:t>
            </w:r>
            <w:r w:rsidRPr="00C27442">
              <w:rPr>
                <w:b/>
                <w:bCs/>
                <w:sz w:val="20"/>
              </w:rPr>
              <w:t xml:space="preserve"> Kötelező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947AD0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13 796 672</w:t>
            </w:r>
          </w:p>
        </w:tc>
      </w:tr>
      <w:tr w:rsidR="00C27442" w:rsidRPr="00C27442" w14:paraId="4B5CC538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F40BF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B1131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C3C86F" w14:textId="035EFFB3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b/>
                <w:bCs/>
                <w:sz w:val="20"/>
                <w:u w:val="single"/>
              </w:rPr>
              <w:t xml:space="preserve">1.3.2.14 Települési </w:t>
            </w:r>
            <w:r w:rsidR="005B05B1" w:rsidRPr="00C27442">
              <w:rPr>
                <w:b/>
                <w:bCs/>
                <w:sz w:val="20"/>
                <w:u w:val="single"/>
              </w:rPr>
              <w:t xml:space="preserve">önkormányzatok </w:t>
            </w:r>
            <w:r w:rsidR="005B05B1">
              <w:rPr>
                <w:b/>
                <w:bCs/>
                <w:sz w:val="20"/>
                <w:u w:val="single"/>
              </w:rPr>
              <w:t xml:space="preserve">egyes </w:t>
            </w:r>
            <w:r w:rsidR="005B05B1" w:rsidRPr="00C27442">
              <w:rPr>
                <w:b/>
                <w:bCs/>
                <w:sz w:val="20"/>
                <w:u w:val="single"/>
              </w:rPr>
              <w:t>szociális</w:t>
            </w:r>
            <w:r w:rsidR="005B05B1">
              <w:rPr>
                <w:b/>
                <w:bCs/>
                <w:sz w:val="20"/>
                <w:u w:val="single"/>
              </w:rPr>
              <w:t xml:space="preserve"> és </w:t>
            </w:r>
            <w:r w:rsidR="005B05B1" w:rsidRPr="00C27442">
              <w:rPr>
                <w:b/>
                <w:bCs/>
                <w:sz w:val="20"/>
                <w:u w:val="single"/>
              </w:rPr>
              <w:t>gyermekjóléti feladatainak támogatása</w:t>
            </w:r>
            <w:r w:rsidRPr="00C27442">
              <w:rPr>
                <w:b/>
                <w:bCs/>
                <w:sz w:val="20"/>
                <w:u w:val="single"/>
              </w:rPr>
              <w:t>:</w:t>
            </w:r>
            <w:r w:rsidRPr="00C27442">
              <w:rPr>
                <w:sz w:val="20"/>
              </w:rPr>
              <w:t xml:space="preserve"> </w:t>
            </w:r>
            <w:r w:rsidRPr="00C27442">
              <w:rPr>
                <w:b/>
                <w:bCs/>
                <w:sz w:val="20"/>
              </w:rPr>
              <w:t>Önként vállalt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ED3D7C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3 485 000</w:t>
            </w:r>
          </w:p>
        </w:tc>
      </w:tr>
      <w:tr w:rsidR="00C27442" w:rsidRPr="00C27442" w14:paraId="48059E44" w14:textId="77777777" w:rsidTr="00C27442">
        <w:trPr>
          <w:trHeight w:val="63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6C2E5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B1131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FA4F5" w14:textId="5DDA5B50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C27442">
              <w:rPr>
                <w:b/>
                <w:bCs/>
                <w:sz w:val="20"/>
                <w:u w:val="single"/>
              </w:rPr>
              <w:t xml:space="preserve">1.3.3. Települési </w:t>
            </w:r>
            <w:r w:rsidR="005B05B1" w:rsidRPr="00C27442">
              <w:rPr>
                <w:b/>
                <w:bCs/>
                <w:sz w:val="20"/>
                <w:u w:val="single"/>
              </w:rPr>
              <w:t xml:space="preserve">önkormányzatok </w:t>
            </w:r>
            <w:r w:rsidR="005B05B1">
              <w:rPr>
                <w:b/>
                <w:bCs/>
                <w:sz w:val="20"/>
                <w:u w:val="single"/>
              </w:rPr>
              <w:t xml:space="preserve">egyes </w:t>
            </w:r>
            <w:r w:rsidR="005B05B1" w:rsidRPr="00C27442">
              <w:rPr>
                <w:b/>
                <w:bCs/>
                <w:sz w:val="20"/>
                <w:u w:val="single"/>
              </w:rPr>
              <w:t>szociális</w:t>
            </w:r>
            <w:r w:rsidR="005B05B1">
              <w:rPr>
                <w:b/>
                <w:bCs/>
                <w:sz w:val="20"/>
                <w:u w:val="single"/>
              </w:rPr>
              <w:t xml:space="preserve"> és </w:t>
            </w:r>
            <w:r w:rsidR="005B05B1" w:rsidRPr="00C27442">
              <w:rPr>
                <w:b/>
                <w:bCs/>
                <w:sz w:val="20"/>
                <w:u w:val="single"/>
              </w:rPr>
              <w:t>gyermekjóléti feladatainak támogatása</w:t>
            </w:r>
            <w:r w:rsidRPr="00C27442">
              <w:rPr>
                <w:b/>
                <w:bCs/>
                <w:sz w:val="20"/>
                <w:u w:val="single"/>
              </w:rPr>
              <w:t>:</w:t>
            </w:r>
            <w:r w:rsidRPr="00C27442">
              <w:rPr>
                <w:b/>
                <w:bCs/>
                <w:sz w:val="20"/>
              </w:rPr>
              <w:t xml:space="preserve"> Kötelező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1815B5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12 628 960</w:t>
            </w:r>
          </w:p>
        </w:tc>
      </w:tr>
      <w:tr w:rsidR="00C27442" w:rsidRPr="00C27442" w14:paraId="51E3E5F2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5648E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B1131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3F6ADC" w14:textId="6E239A61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b/>
                <w:bCs/>
                <w:sz w:val="20"/>
                <w:u w:val="single"/>
              </w:rPr>
              <w:t xml:space="preserve">1.3.4. Települési </w:t>
            </w:r>
            <w:r w:rsidR="005B05B1" w:rsidRPr="00C27442">
              <w:rPr>
                <w:b/>
                <w:bCs/>
                <w:sz w:val="20"/>
                <w:u w:val="single"/>
              </w:rPr>
              <w:t xml:space="preserve">önkormányzatok </w:t>
            </w:r>
            <w:r w:rsidR="005B05B1">
              <w:rPr>
                <w:b/>
                <w:bCs/>
                <w:sz w:val="20"/>
                <w:u w:val="single"/>
              </w:rPr>
              <w:t xml:space="preserve">egyes </w:t>
            </w:r>
            <w:r w:rsidR="005B05B1" w:rsidRPr="00C27442">
              <w:rPr>
                <w:b/>
                <w:bCs/>
                <w:sz w:val="20"/>
                <w:u w:val="single"/>
              </w:rPr>
              <w:t>szociális</w:t>
            </w:r>
            <w:r w:rsidR="005B05B1">
              <w:rPr>
                <w:b/>
                <w:bCs/>
                <w:sz w:val="20"/>
                <w:u w:val="single"/>
              </w:rPr>
              <w:t xml:space="preserve"> és </w:t>
            </w:r>
            <w:r w:rsidR="005B05B1" w:rsidRPr="00C27442">
              <w:rPr>
                <w:b/>
                <w:bCs/>
                <w:sz w:val="20"/>
                <w:u w:val="single"/>
              </w:rPr>
              <w:t>gyermekjóléti feladatainak támogatása</w:t>
            </w:r>
            <w:r w:rsidRPr="00C27442">
              <w:rPr>
                <w:b/>
                <w:bCs/>
                <w:sz w:val="20"/>
                <w:u w:val="single"/>
              </w:rPr>
              <w:t>:</w:t>
            </w:r>
            <w:r w:rsidRPr="00C27442">
              <w:rPr>
                <w:sz w:val="20"/>
              </w:rPr>
              <w:t xml:space="preserve"> </w:t>
            </w:r>
            <w:r w:rsidRPr="00C27442">
              <w:rPr>
                <w:b/>
                <w:bCs/>
                <w:sz w:val="20"/>
              </w:rPr>
              <w:t>Önként vállalt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F35A81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33 600 000</w:t>
            </w:r>
          </w:p>
        </w:tc>
      </w:tr>
      <w:tr w:rsidR="00C27442" w:rsidRPr="00C27442" w14:paraId="4B42117B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6203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B1131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1D28D" w14:textId="5F22B049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5B05B1">
              <w:rPr>
                <w:b/>
                <w:bCs/>
                <w:sz w:val="20"/>
                <w:u w:val="single"/>
              </w:rPr>
              <w:t xml:space="preserve">2.2.3. Települési önkormányzatok </w:t>
            </w:r>
            <w:r w:rsidR="00563305">
              <w:rPr>
                <w:b/>
                <w:bCs/>
                <w:sz w:val="20"/>
                <w:u w:val="single"/>
              </w:rPr>
              <w:t xml:space="preserve">egyes </w:t>
            </w:r>
            <w:r w:rsidR="00563305" w:rsidRPr="00C27442">
              <w:rPr>
                <w:b/>
                <w:bCs/>
                <w:sz w:val="20"/>
                <w:u w:val="single"/>
              </w:rPr>
              <w:t>szociális</w:t>
            </w:r>
            <w:r w:rsidR="00563305">
              <w:rPr>
                <w:b/>
                <w:bCs/>
                <w:sz w:val="20"/>
                <w:u w:val="single"/>
              </w:rPr>
              <w:t xml:space="preserve"> és </w:t>
            </w:r>
            <w:r w:rsidR="00563305" w:rsidRPr="00C27442">
              <w:rPr>
                <w:b/>
                <w:bCs/>
                <w:sz w:val="20"/>
                <w:u w:val="single"/>
              </w:rPr>
              <w:t>gyermekjóléti feladatainak támogatása</w:t>
            </w:r>
            <w:r w:rsidRPr="00C27442">
              <w:rPr>
                <w:b/>
                <w:bCs/>
                <w:sz w:val="20"/>
              </w:rPr>
              <w:t>: Kötelező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672D50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1 943 000</w:t>
            </w:r>
          </w:p>
        </w:tc>
      </w:tr>
      <w:tr w:rsidR="00C27442" w:rsidRPr="00C27442" w14:paraId="065EC7EA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57719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B1132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D6DBA4" w14:textId="1CA9784D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  <w:u w:val="single"/>
              </w:rPr>
            </w:pPr>
            <w:r w:rsidRPr="00C27442">
              <w:rPr>
                <w:b/>
                <w:bCs/>
                <w:sz w:val="20"/>
                <w:u w:val="single"/>
              </w:rPr>
              <w:t>1.4.1. Települési önkormányzatok gyermekétkeztetési feladatainak támogatása</w:t>
            </w:r>
            <w:r w:rsidRPr="00C27442">
              <w:rPr>
                <w:b/>
                <w:bCs/>
                <w:sz w:val="20"/>
              </w:rPr>
              <w:t>: Kötelező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B4E917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8 214 657</w:t>
            </w:r>
          </w:p>
        </w:tc>
      </w:tr>
      <w:tr w:rsidR="00C27442" w:rsidRPr="00C27442" w14:paraId="31F889F2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80417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B114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31ED61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0"/>
              </w:rPr>
            </w:pPr>
            <w:r w:rsidRPr="00C27442">
              <w:rPr>
                <w:b/>
                <w:bCs/>
                <w:sz w:val="20"/>
                <w:u w:val="single"/>
              </w:rPr>
              <w:t>Települési önkormányzatok kulturális feladatainak támogatása:</w:t>
            </w:r>
            <w:r w:rsidRPr="00C27442">
              <w:rPr>
                <w:b/>
                <w:bCs/>
                <w:sz w:val="20"/>
              </w:rPr>
              <w:t xml:space="preserve"> Kötelező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6C6201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4 812 000</w:t>
            </w:r>
          </w:p>
        </w:tc>
      </w:tr>
      <w:tr w:rsidR="00C27442" w:rsidRPr="00C27442" w14:paraId="0902BE55" w14:textId="77777777" w:rsidTr="00C27442">
        <w:trPr>
          <w:trHeight w:val="510"/>
          <w:jc w:val="right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E1A2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sz w:val="20"/>
              </w:rPr>
              <w:t xml:space="preserve"> B115 </w:t>
            </w: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6CB9BA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  <w:r w:rsidRPr="00C27442">
              <w:rPr>
                <w:b/>
                <w:bCs/>
                <w:sz w:val="20"/>
                <w:u w:val="single"/>
              </w:rPr>
              <w:t>Működési célú költségvetési támogatások és kiegészítő támogatások:</w:t>
            </w:r>
            <w:r w:rsidRPr="00C27442">
              <w:rPr>
                <w:sz w:val="20"/>
              </w:rPr>
              <w:t xml:space="preserve"> </w:t>
            </w:r>
            <w:r w:rsidRPr="00C27442">
              <w:rPr>
                <w:b/>
                <w:bCs/>
                <w:sz w:val="20"/>
              </w:rPr>
              <w:t>KIEGÉSZÍTŐ TÁMOGATÁS - Kötelező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1DDF0E" w14:textId="534D0436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 w:val="22"/>
                <w:szCs w:val="22"/>
              </w:rPr>
            </w:pPr>
            <w:r w:rsidRPr="00C27442">
              <w:rPr>
                <w:sz w:val="22"/>
                <w:szCs w:val="22"/>
              </w:rPr>
              <w:t>-</w:t>
            </w:r>
            <w:r w:rsidR="009A7D55">
              <w:rPr>
                <w:sz w:val="22"/>
                <w:szCs w:val="22"/>
              </w:rPr>
              <w:t>84 441 812</w:t>
            </w:r>
          </w:p>
        </w:tc>
      </w:tr>
      <w:tr w:rsidR="00C27442" w:rsidRPr="00C27442" w14:paraId="5D63C0D6" w14:textId="77777777" w:rsidTr="00C27442">
        <w:trPr>
          <w:trHeight w:val="315"/>
          <w:jc w:val="right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94C76BB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i/>
                <w:iCs/>
                <w:sz w:val="20"/>
              </w:rPr>
            </w:pPr>
            <w:r w:rsidRPr="00C27442">
              <w:rPr>
                <w:i/>
                <w:iCs/>
                <w:sz w:val="20"/>
              </w:rPr>
              <w:t> </w:t>
            </w:r>
          </w:p>
        </w:tc>
        <w:tc>
          <w:tcPr>
            <w:tcW w:w="410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573B216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C27442">
              <w:rPr>
                <w:b/>
                <w:bCs/>
                <w:i/>
                <w:iCs/>
                <w:sz w:val="20"/>
              </w:rPr>
              <w:t>Önkormányzatok működési támogatása összesen: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283BAC8" w14:textId="77777777" w:rsidR="00C27442" w:rsidRPr="00C27442" w:rsidRDefault="00C27442" w:rsidP="00C27442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i/>
                <w:iCs/>
                <w:sz w:val="20"/>
              </w:rPr>
            </w:pPr>
            <w:r w:rsidRPr="00C27442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62A13464" w14:textId="00A92CD8" w:rsidR="00C27442" w:rsidRPr="00C27442" w:rsidRDefault="009A7D55" w:rsidP="00C27442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40 605 328</w:t>
            </w:r>
          </w:p>
        </w:tc>
      </w:tr>
    </w:tbl>
    <w:p w14:paraId="568201A2" w14:textId="3E8DA0AE" w:rsidR="00C27442" w:rsidRDefault="00C27442" w:rsidP="00C27442"/>
    <w:p w14:paraId="5A59FD63" w14:textId="0BD70D03" w:rsidR="009A7D55" w:rsidRDefault="009A7D55" w:rsidP="00C27442">
      <w:r>
        <w:t>Fentiek miatt az általános tartalék előirányzata 40.605.328 Ft-tal nő.</w:t>
      </w:r>
    </w:p>
    <w:p w14:paraId="7F49F647" w14:textId="3E5A292E" w:rsidR="002473BD" w:rsidRDefault="002473BD" w:rsidP="002473BD">
      <w:pPr>
        <w:pStyle w:val="Listaszerbekezds"/>
        <w:ind w:left="426" w:hanging="426"/>
      </w:pPr>
      <w:r>
        <w:t>Az „Iparterület kialakítása Tiszavasváriban” című pályázattal kapcsolatosan az eredeti költségvetésben fizetendő áfa került tervezésre, azonban az inkubátor csarnok kivitelezése nem fog megvalósulni, így a fordított áfa összegét szükséges átcsoportosítani beruházási célú általános forgalmi adóra.</w:t>
      </w:r>
    </w:p>
    <w:p w14:paraId="22882563" w14:textId="3F3C2828" w:rsidR="00431972" w:rsidRDefault="002473BD" w:rsidP="00C27442">
      <w:r>
        <w:t xml:space="preserve">Ezért az Önkormányzat költségvetésében a </w:t>
      </w:r>
      <w:r w:rsidRPr="002473BD">
        <w:t>Településfejlesztési projektek és támogatásuk</w:t>
      </w:r>
      <w:r>
        <w:t xml:space="preserve"> (062020-Köt.) kormányzati funkción a </w:t>
      </w:r>
      <w:r w:rsidRPr="002473BD">
        <w:t>Fizetendő általános forgalmi adó</w:t>
      </w:r>
      <w:r>
        <w:t xml:space="preserve"> (K352) kiadási előirányzatát 15.479.670 Ft-tal javaslom csökkenteni, a </w:t>
      </w:r>
      <w:r w:rsidRPr="002473BD">
        <w:t>Beruházási célú előzetesen felszámított általános forgalmi adó</w:t>
      </w:r>
      <w:r>
        <w:t xml:space="preserve"> (K67) azonos összegű </w:t>
      </w:r>
      <w:r w:rsidR="0064319E">
        <w:t>növelése mellett.</w:t>
      </w:r>
    </w:p>
    <w:p w14:paraId="01DD5895" w14:textId="239BFBA3" w:rsidR="0064319E" w:rsidRDefault="0064319E" w:rsidP="00C27442"/>
    <w:p w14:paraId="321155D7" w14:textId="63D391F3" w:rsidR="0064319E" w:rsidRDefault="00DF257E" w:rsidP="0064319E">
      <w:pPr>
        <w:pStyle w:val="Listaszerbekezds"/>
        <w:ind w:left="426" w:hanging="426"/>
      </w:pPr>
      <w:r>
        <w:t xml:space="preserve">A Tiszavasvári komplex felzárkózási program megvalósításával kapcsolatban olyan tevékenységek is közbeszerzés kötelesek lettek, amelyek a pályázat benyújtásakor előzetes információk alapján nem tartoztak ezen körbe. Ezért a közbeszerzéshez felmerülő kiadásokra szükséges az előirányzatokat biztosítani. </w:t>
      </w:r>
    </w:p>
    <w:p w14:paraId="46930D4A" w14:textId="4C4BFC75" w:rsidR="00DF257E" w:rsidRDefault="00DF257E" w:rsidP="00DF257E">
      <w:r>
        <w:t xml:space="preserve">Ezért az Önkormányzat költségvetésében a </w:t>
      </w:r>
      <w:r w:rsidRPr="00DF257E">
        <w:t>Szektorhoz nem köthető komplex gazdaságfejlesztési projektek támogatása</w:t>
      </w:r>
      <w:r>
        <w:t xml:space="preserve"> (047450-Köt.) kormányzati funkción a </w:t>
      </w:r>
      <w:r w:rsidRPr="00DF257E">
        <w:t>Reklám- és propagandakiadások</w:t>
      </w:r>
      <w:r>
        <w:t xml:space="preserve"> (K342) kiadási előirányzatát 300.000 Ft-tal, az </w:t>
      </w:r>
      <w:r w:rsidRPr="00DF257E">
        <w:t>Egyéb dologi kiadások</w:t>
      </w:r>
      <w:r>
        <w:t xml:space="preserve"> (K355) kiadási előirányzatát 80.000 Ft-tal, a </w:t>
      </w:r>
      <w:r w:rsidRPr="00DF257E">
        <w:t>Szakmai tevékenységet segítő szolgáltatások</w:t>
      </w:r>
      <w:r>
        <w:t xml:space="preserve"> (K336) kiadási előirányzatát 400.000 Ft-tal, a </w:t>
      </w:r>
      <w:r w:rsidRPr="00DF257E">
        <w:t xml:space="preserve">Működési célú előzetesen </w:t>
      </w:r>
      <w:r w:rsidRPr="00DF257E">
        <w:lastRenderedPageBreak/>
        <w:t>felszámított általános forgalmi adó</w:t>
      </w:r>
      <w:r>
        <w:t xml:space="preserve"> (K351) kiadási előirányzatát 129.600 Ft-tal javaslom megnövelni az általános tartalék </w:t>
      </w:r>
      <w:r w:rsidR="000328A5">
        <w:t>909.600 Ft-os csökkentése mellett.</w:t>
      </w:r>
    </w:p>
    <w:p w14:paraId="20D03ADA" w14:textId="1F013AF3" w:rsidR="0000788F" w:rsidRDefault="0000788F" w:rsidP="0000788F">
      <w:pPr>
        <w:pStyle w:val="Listaszerbekezds"/>
        <w:ind w:left="426" w:hanging="426"/>
      </w:pPr>
      <w:r w:rsidRPr="00A94E0E">
        <w:t>Infrastrukturális fejlesztések megvalósítása Tiszavasváriban</w:t>
      </w:r>
      <w:r>
        <w:t xml:space="preserve"> pályázattal kapcsolatban a központi orvosi rendelőnél folyamatban lévő beruházás esetében az eredeti költségvetésben tervezésre került a gázvezeték szanálás díja, amely csak egy becsült összeg volt</w:t>
      </w:r>
      <w:r w:rsidR="00D40F1B">
        <w:t>, azonban a</w:t>
      </w:r>
      <w:r>
        <w:t xml:space="preserve"> beérkező számla alapján nem nyújt teljes összegben fedezetet. </w:t>
      </w:r>
      <w:r w:rsidR="009B10FC">
        <w:t>A</w:t>
      </w:r>
      <w:r>
        <w:t xml:space="preserve"> gázszolgáltatás visszakapcsolásának is merül fel költsége, amelyet szükséges biztosítani</w:t>
      </w:r>
      <w:r w:rsidR="00D40F1B">
        <w:t xml:space="preserve"> céltartartalék terhére</w:t>
      </w:r>
      <w:r w:rsidR="00C61973">
        <w:t>, az eredetileg betervezett kiadás összegével pedig növelhető az általános tartalék.</w:t>
      </w:r>
      <w:r w:rsidR="009B10FC">
        <w:t xml:space="preserve"> A kivitelezés során bevont rehabilitációs szakmérnök, helyszíni ellenőrzésének díját is szükséges biztosítani. Valamint az elektromos áram biztosításához teljesítmény összevonás szükséges az épületben, melynek díja az Opus-Titász tájékoztatása alapján 736.600 Ft lesz. </w:t>
      </w:r>
    </w:p>
    <w:p w14:paraId="6F6E8E0A" w14:textId="297EA846" w:rsidR="0000788F" w:rsidRDefault="009B10FC" w:rsidP="0000788F">
      <w:r>
        <w:t xml:space="preserve">Fentiek miatt </w:t>
      </w:r>
      <w:r w:rsidR="0000788F">
        <w:t xml:space="preserve">az Önkormányzat költségvetésében a </w:t>
      </w:r>
      <w:r w:rsidR="0000788F" w:rsidRPr="00A94E0E">
        <w:t>Háziorvosi alapellátás</w:t>
      </w:r>
      <w:r w:rsidR="0000788F">
        <w:t xml:space="preserve"> (072111-Köt. R-556) kormányzati funkción az </w:t>
      </w:r>
      <w:r w:rsidR="0000788F" w:rsidRPr="00406F32">
        <w:t>Ingatlanok felújítása</w:t>
      </w:r>
      <w:r w:rsidR="0000788F">
        <w:t xml:space="preserve"> (K71) kiadási előirányzatát</w:t>
      </w:r>
      <w:r w:rsidR="00D40F1B">
        <w:t xml:space="preserve"> </w:t>
      </w:r>
      <w:r w:rsidR="004206D1">
        <w:t>1.095.771</w:t>
      </w:r>
      <w:r w:rsidR="0000788F">
        <w:t xml:space="preserve"> Ft-tal, a </w:t>
      </w:r>
      <w:r w:rsidR="0000788F" w:rsidRPr="00406F32">
        <w:t>Felújítási célú előzetesen felszámított általános forgalmi adó</w:t>
      </w:r>
      <w:r w:rsidR="0000788F">
        <w:t xml:space="preserve"> (K74) kiadási előirányzatát </w:t>
      </w:r>
      <w:r w:rsidR="004206D1">
        <w:t>231</w:t>
      </w:r>
      <w:r w:rsidR="0000788F">
        <w:t>.</w:t>
      </w:r>
      <w:r w:rsidR="004206D1">
        <w:t>058</w:t>
      </w:r>
      <w:r w:rsidR="0000788F">
        <w:t xml:space="preserve"> Ft-tal javaslom megemelni</w:t>
      </w:r>
      <w:r w:rsidR="00C61973">
        <w:t xml:space="preserve">. Ezzel egyidőben a céltartalék előirányzata </w:t>
      </w:r>
      <w:r w:rsidR="004206D1">
        <w:t>1.</w:t>
      </w:r>
      <w:r w:rsidR="008F4E20">
        <w:t>546</w:t>
      </w:r>
      <w:r w:rsidR="004206D1">
        <w:t>.</w:t>
      </w:r>
      <w:r w:rsidR="008F4E20">
        <w:t>829</w:t>
      </w:r>
      <w:r w:rsidR="00C61973">
        <w:t xml:space="preserve"> Ft-tal csökken, míg</w:t>
      </w:r>
      <w:r w:rsidR="0000788F">
        <w:t xml:space="preserve"> az általános tartalék</w:t>
      </w:r>
      <w:r w:rsidR="00C61973">
        <w:t xml:space="preserve"> előirányzata</w:t>
      </w:r>
      <w:r w:rsidR="0000788F">
        <w:t xml:space="preserve"> </w:t>
      </w:r>
      <w:r w:rsidR="00C61973">
        <w:t>220</w:t>
      </w:r>
      <w:r w:rsidR="0000788F">
        <w:t>.000 Ft</w:t>
      </w:r>
      <w:r w:rsidR="00C61973">
        <w:t>-tal nő.</w:t>
      </w:r>
    </w:p>
    <w:p w14:paraId="2A77D6F5" w14:textId="67B36907" w:rsidR="0000788F" w:rsidRDefault="008F3075" w:rsidP="00646CBB">
      <w:pPr>
        <w:pStyle w:val="Listaszerbekezds"/>
        <w:ind w:left="426" w:hanging="426"/>
      </w:pPr>
      <w:r>
        <w:t xml:space="preserve">Az </w:t>
      </w:r>
      <w:r w:rsidRPr="00A94E0E">
        <w:t>Infrastrukturális fejlesztések megvalósítása Tiszavasváriban</w:t>
      </w:r>
      <w:r>
        <w:t xml:space="preserve"> pályázatnál a</w:t>
      </w:r>
      <w:r w:rsidR="00060E99">
        <w:t xml:space="preserve"> többletbevételből </w:t>
      </w:r>
      <w:r>
        <w:t>célszerű a Kabay 21-23. épületegyüttes fel nem újított részé</w:t>
      </w:r>
      <w:r w:rsidR="00A149EC">
        <w:t>ből a volt háziorvosi épületszakasz</w:t>
      </w:r>
      <w:r>
        <w:t xml:space="preserve"> külső nyílászáróinak cseréjére és homlokzati hőszigetelésre fordítani. </w:t>
      </w:r>
    </w:p>
    <w:p w14:paraId="6C444E5A" w14:textId="44E72CCF" w:rsidR="006A522D" w:rsidRDefault="006A522D" w:rsidP="006A522D">
      <w:r>
        <w:t xml:space="preserve">Ezért az Önkormányzat költségvetésében </w:t>
      </w:r>
      <w:r w:rsidR="00914F8E">
        <w:t>a</w:t>
      </w:r>
      <w:r w:rsidR="00914F8E" w:rsidRPr="00914F8E">
        <w:t>z önkormányzati vagyonnal való gazdálkodással kapcsolatos feladatok</w:t>
      </w:r>
      <w:r w:rsidR="00914F8E">
        <w:t xml:space="preserve"> (013350-Köt.) kormányzati funkción </w:t>
      </w:r>
      <w:r w:rsidR="00914F8E" w:rsidRPr="00914F8E">
        <w:t>Ingatlanok felújítása</w:t>
      </w:r>
      <w:r w:rsidR="00914F8E">
        <w:t xml:space="preserve"> (K71) kiadási előirányzatát 13.</w:t>
      </w:r>
      <w:r w:rsidR="00DA297E">
        <w:t>108</w:t>
      </w:r>
      <w:r w:rsidR="00914F8E">
        <w:t>.</w:t>
      </w:r>
      <w:r w:rsidR="00DA297E">
        <w:t>685</w:t>
      </w:r>
      <w:r w:rsidR="00914F8E">
        <w:t xml:space="preserve"> Ft-tal, a </w:t>
      </w:r>
      <w:r w:rsidR="00914F8E" w:rsidRPr="00914F8E">
        <w:t>Felújítási célú előzetesen felszámított általános forgalmi adó</w:t>
      </w:r>
      <w:r w:rsidR="00914F8E">
        <w:t xml:space="preserve"> (K74) kiadási előirányzatát 3.</w:t>
      </w:r>
      <w:r w:rsidR="00DA297E">
        <w:t>539</w:t>
      </w:r>
      <w:r w:rsidR="00914F8E">
        <w:t>.</w:t>
      </w:r>
      <w:r w:rsidR="00DA297E">
        <w:t>34</w:t>
      </w:r>
      <w:r w:rsidR="00914F8E">
        <w:t xml:space="preserve">9 Ft-tal javaslom megemelni a céltartalék előirányzatának 17.624.630 Ft-os csökkentése mellett. </w:t>
      </w:r>
    </w:p>
    <w:p w14:paraId="27A9B6A0" w14:textId="24D34AD5" w:rsidR="000B3F4F" w:rsidRDefault="000B3F4F" w:rsidP="000B3F4F">
      <w:pPr>
        <w:pStyle w:val="Listaszerbekezds"/>
        <w:ind w:left="426" w:hanging="426"/>
      </w:pPr>
      <w:r>
        <w:t>Jelen testületi ülésen, külön napirendként kerül megtárgyalásra a Kossuth út. 6. szám alatti társasház függőfolyosójának felújítása. Az ehhez szükséges előirányzatot az alábbiak alapján javaslom elfogadni:</w:t>
      </w:r>
    </w:p>
    <w:p w14:paraId="3C7CE842" w14:textId="3F186497" w:rsidR="000B3F4F" w:rsidRDefault="0089178E" w:rsidP="000B3F4F">
      <w:r>
        <w:t>Fentiek miatt a</w:t>
      </w:r>
      <w:r w:rsidR="000B3F4F">
        <w:t xml:space="preserve">z Önkormányzat költségvetésében a </w:t>
      </w:r>
      <w:r w:rsidR="000B3F4F" w:rsidRPr="000B3F4F">
        <w:t>Lakóingatlan szociális célú bérbeadása, üzemeltetése</w:t>
      </w:r>
      <w:r w:rsidR="000B3F4F">
        <w:t xml:space="preserve"> (106010-Köt) kormányzati funkción az Ingatlanok felújítása (K71) kiadási előirányzatát 3.653.543 Ft-tal, a </w:t>
      </w:r>
      <w:r w:rsidR="000B3F4F" w:rsidRPr="000B3F4F">
        <w:t>Felújítási célú előzetesen felszámított általános forgalmi adó</w:t>
      </w:r>
      <w:r w:rsidR="000B3F4F">
        <w:t xml:space="preserve"> (K74) kiadási előirányzatát 986.457 Ft-tal javaslom megnövelni, ezzel egyidőben a Céltartalék (</w:t>
      </w:r>
      <w:r w:rsidR="00F87D9B">
        <w:t>Bérlakás alszámla</w:t>
      </w:r>
      <w:r w:rsidR="000B3F4F">
        <w:t>) előirányzata 4.640.000 Ft-tal csökken.</w:t>
      </w:r>
    </w:p>
    <w:p w14:paraId="45327799" w14:textId="77777777" w:rsidR="00FD6460" w:rsidRDefault="00457A66" w:rsidP="003C1531">
      <w:pPr>
        <w:pStyle w:val="Listaszerbekezds"/>
        <w:ind w:left="426" w:hanging="426"/>
      </w:pPr>
      <w:r>
        <w:t>A Tiszavasvári Fúvószenekar</w:t>
      </w:r>
      <w:r w:rsidR="00DA28CD">
        <w:t>i Alapítvány</w:t>
      </w:r>
      <w:r w:rsidR="00FD6460">
        <w:t xml:space="preserve"> kérelmet nyújtott be felhalmozási célú támogatás igénylésére a polgármesteri keretből. Mely kérelem alapján 200.000 Ft összegű támogatást kívánok biztosítani. Azonban az eredeti költségvetésben a polgármesteri keret csak működési célú támogatásra került betervezésre. Fentiek miatt az alábbi átcsoportosítás végrehajtása szükséges.</w:t>
      </w:r>
    </w:p>
    <w:p w14:paraId="627793FF" w14:textId="207582B8" w:rsidR="009B10FC" w:rsidRPr="009B10FC" w:rsidRDefault="00457A66" w:rsidP="009B10FC">
      <w:pPr>
        <w:pStyle w:val="Listaszerbekezds"/>
        <w:numPr>
          <w:ilvl w:val="0"/>
          <w:numId w:val="0"/>
        </w:numPr>
        <w:ind w:left="426"/>
      </w:pPr>
      <w:r>
        <w:t xml:space="preserve">Ezért az Önkormányzat költségvetésében a </w:t>
      </w:r>
      <w:r w:rsidRPr="00457A66">
        <w:t>Civil szervezetek működési támogatása</w:t>
      </w:r>
      <w:r>
        <w:t xml:space="preserve"> (084031-Önv.) </w:t>
      </w:r>
      <w:r w:rsidR="00640371">
        <w:t xml:space="preserve"> kormányzati funkción </w:t>
      </w:r>
      <w:r>
        <w:t xml:space="preserve">az </w:t>
      </w:r>
      <w:r w:rsidRPr="00457A66">
        <w:t>Egyéb működési célú támogatások államháztartáson kívülre</w:t>
      </w:r>
      <w:r>
        <w:t xml:space="preserve"> (K512) kiadási előirányzatát 200.000 Ft-tal javaslom csökkenteni </w:t>
      </w:r>
      <w:r>
        <w:lastRenderedPageBreak/>
        <w:t xml:space="preserve">az </w:t>
      </w:r>
      <w:r w:rsidRPr="00457A66">
        <w:t>Egyéb felhalmozási célú támogatások államháztartáson kívülre</w:t>
      </w:r>
      <w:r>
        <w:t xml:space="preserve"> (K89) kiadási előirányzatának azonos összegű növelése mellett.</w:t>
      </w:r>
    </w:p>
    <w:p w14:paraId="4065E376" w14:textId="77777777" w:rsidR="0089178E" w:rsidRDefault="00DD7D67" w:rsidP="00DD7D67">
      <w:pPr>
        <w:pStyle w:val="Listaszerbekezds"/>
        <w:ind w:left="426" w:hanging="426"/>
      </w:pPr>
      <w:r>
        <w:t xml:space="preserve">Az „Esély és Otthon – mindkettő lehetséges! Komplex beavatkozások megvalósítása a fiatalok elvándorlásának csökkentése érdekében Tiszavasváriban” című projekttel kapcsolatban </w:t>
      </w:r>
      <w:r w:rsidR="0089178E">
        <w:t>megállapításra került, hogy a 11. időközi kifizetési igénylés keretében elszámolt projekt asszisztensi díj tévesen került megállapításra. Ebből adódóan Önkormányzatunknak 31.726 Ft összegű visszafizetési kötelezettsége keletkezett.</w:t>
      </w:r>
    </w:p>
    <w:p w14:paraId="0848C61C" w14:textId="335AF13C" w:rsidR="00DD7D67" w:rsidRDefault="0089178E" w:rsidP="0089178E">
      <w:pPr>
        <w:pStyle w:val="Listaszerbekezds"/>
        <w:numPr>
          <w:ilvl w:val="0"/>
          <w:numId w:val="0"/>
        </w:numPr>
        <w:ind w:left="426"/>
      </w:pPr>
      <w:r>
        <w:t>Ezért az Önkormányzat költségvetésében a</w:t>
      </w:r>
      <w:r w:rsidRPr="0089178E">
        <w:t xml:space="preserve"> fiatalok társadalmi integrációját segítő struktúra, szakmai szolgáltatások fejlesztése, működtetése</w:t>
      </w:r>
      <w:r>
        <w:t xml:space="preserve"> (084070-Köt.) kormányzati funkción az </w:t>
      </w:r>
      <w:r w:rsidRPr="0089178E">
        <w:t>Egyéb működési célú támogatások államháztartáson belülre</w:t>
      </w:r>
      <w:r>
        <w:t xml:space="preserve"> (K506) kiadási előirányzatát 31.726 Ft-tal javaslom megemelni az általános tartalék azonos összegű csökkentése mellett.</w:t>
      </w:r>
    </w:p>
    <w:p w14:paraId="464EDBB0" w14:textId="77777777" w:rsidR="007C5556" w:rsidRDefault="00B12555" w:rsidP="00B34662">
      <w:pPr>
        <w:pStyle w:val="Listaszerbekezds"/>
        <w:ind w:left="426" w:hanging="426"/>
      </w:pPr>
      <w:r>
        <w:t>A Tiva-Szolg Kft. a fizikoterápiás szolgáltatás működési engedélyének megszerzése érdekében felújítást hajtott végre a Vasvári P. u. 6. szám alatt található Önkormányzati ingatlanon. Ennek teljes költsége bruttó 2.405.350 Ft volt.</w:t>
      </w:r>
      <w:r w:rsidR="007C5556">
        <w:t xml:space="preserve"> A fizikoterápiás szolgáltatásokat 2023.04.01.-től látja el a Tiva-Szolg Kft., mely feladatra 600.000 Ft/hó működési támogatásra jogosult. Az eredeti költségvetésben nem támogatásként került betervezésre ez az összeg, ezért azt szükséges átcsoportosítani. Valamint j</w:t>
      </w:r>
      <w:r w:rsidR="00AA7B55">
        <w:t xml:space="preserve">avaslom </w:t>
      </w:r>
      <w:r w:rsidR="007C5556">
        <w:t>a felújítás összegét</w:t>
      </w:r>
      <w:r w:rsidR="00AA7B55">
        <w:t xml:space="preserve"> felhalmozási támogatás jogcímen biztosítani a Kft. részére. </w:t>
      </w:r>
    </w:p>
    <w:p w14:paraId="1600C9A1" w14:textId="7C9E6852" w:rsidR="00AA7B55" w:rsidRPr="00AA7B55" w:rsidRDefault="00AA7B55" w:rsidP="007C5556">
      <w:pPr>
        <w:pStyle w:val="Listaszerbekezds"/>
        <w:numPr>
          <w:ilvl w:val="0"/>
          <w:numId w:val="0"/>
        </w:numPr>
        <w:ind w:left="426"/>
      </w:pPr>
      <w:r>
        <w:t xml:space="preserve">Ezért az Önkormányzat költségvetésében a </w:t>
      </w:r>
      <w:r w:rsidRPr="00AA7B55">
        <w:t>Fizikoterápiás szolgáltatás</w:t>
      </w:r>
      <w:r>
        <w:t xml:space="preserve"> (072450-Önv) kormányzati funkción az </w:t>
      </w:r>
      <w:r w:rsidRPr="00AA7B55">
        <w:t>Egyéb felhalmozási célú támogatások államháztartáson kívülre</w:t>
      </w:r>
      <w:r>
        <w:t xml:space="preserve"> (K89) kiadási előirányzatát 2.405.350 Ft-tal</w:t>
      </w:r>
      <w:r w:rsidR="007C5556">
        <w:t>, a</w:t>
      </w:r>
      <w:r w:rsidR="00550278">
        <w:t xml:space="preserve">z </w:t>
      </w:r>
      <w:r w:rsidR="00550278" w:rsidRPr="00550278">
        <w:t>Egyéb működési célú támogatások államháztartáson kívülre</w:t>
      </w:r>
      <w:r w:rsidR="00550278">
        <w:t xml:space="preserve"> (K512) kiadási előirányzatát 4.800.000 Ft-tal</w:t>
      </w:r>
      <w:r>
        <w:t xml:space="preserve"> megemelni</w:t>
      </w:r>
      <w:r w:rsidR="00550278">
        <w:t xml:space="preserve">. Ennek hatására a </w:t>
      </w:r>
      <w:r w:rsidR="00550278" w:rsidRPr="00550278">
        <w:t>Szakmai tevékenységet segítő szolgáltatások</w:t>
      </w:r>
      <w:r w:rsidR="00550278">
        <w:t xml:space="preserve"> (K336) kiadási 7.200.000 Ft-tal, az általános tartalék pedig 5.350 Ft-tal csökken.</w:t>
      </w:r>
    </w:p>
    <w:p w14:paraId="5ABF26DE" w14:textId="3EAC3AB6" w:rsidR="00B12555" w:rsidRDefault="00D40C83" w:rsidP="0008495A">
      <w:pPr>
        <w:pStyle w:val="Listaszerbekezds"/>
        <w:ind w:left="426" w:hanging="426"/>
      </w:pPr>
      <w:r>
        <w:t>Önkormányzatunk az „Iparterület továbbfejlesztése Tiszavasváriban” című pályázat keretében 81.338.135 Ft támogatás</w:t>
      </w:r>
      <w:r w:rsidR="00B12555">
        <w:t>ban részesül</w:t>
      </w:r>
      <w:r>
        <w:t>.</w:t>
      </w:r>
      <w:r w:rsidR="00B12555">
        <w:t xml:space="preserve"> A projekt keretében megvalósítani kívánt fejlesztéssel kapcsolatban áfalevonási joga keletkezik Önkormányzatunknak. Ezért az alábbi táblázat szerinti módosítás elfogadását javaslom:</w:t>
      </w: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740"/>
        <w:gridCol w:w="1740"/>
      </w:tblGrid>
      <w:tr w:rsidR="00B12555" w:rsidRPr="00B12555" w14:paraId="53B82410" w14:textId="77777777" w:rsidTr="00B12555">
        <w:trPr>
          <w:trHeight w:val="58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3F022" w14:textId="58D3568D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Cs w:val="24"/>
              </w:rPr>
            </w:pPr>
            <w:r w:rsidRPr="00B12555">
              <w:rPr>
                <w:b/>
                <w:bCs/>
                <w:szCs w:val="24"/>
              </w:rPr>
              <w:t>013350</w:t>
            </w:r>
          </w:p>
        </w:tc>
        <w:tc>
          <w:tcPr>
            <w:tcW w:w="7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00F4E" w14:textId="1C5C0159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Cs w:val="24"/>
              </w:rPr>
            </w:pPr>
            <w:r w:rsidRPr="00B12555">
              <w:rPr>
                <w:b/>
                <w:bCs/>
                <w:szCs w:val="24"/>
              </w:rPr>
              <w:t xml:space="preserve"> Az önkormányzati vagyonnal való gazdálkodással kapcsolatos feladatok </w:t>
            </w:r>
            <w:r>
              <w:rPr>
                <w:b/>
                <w:bCs/>
                <w:szCs w:val="24"/>
              </w:rPr>
              <w:t>–</w:t>
            </w:r>
            <w:r w:rsidRPr="00B12555">
              <w:rPr>
                <w:b/>
                <w:bCs/>
                <w:szCs w:val="24"/>
              </w:rPr>
              <w:t xml:space="preserve"> Kötelező</w:t>
            </w:r>
          </w:p>
        </w:tc>
      </w:tr>
      <w:tr w:rsidR="00B12555" w:rsidRPr="00B12555" w14:paraId="2E59D6CD" w14:textId="77777777" w:rsidTr="00B12555">
        <w:trPr>
          <w:trHeight w:val="63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081C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K122</w:t>
            </w:r>
          </w:p>
        </w:tc>
        <w:tc>
          <w:tcPr>
            <w:tcW w:w="5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E1CE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Munkavégzésre irányuló egyéb jogviszonyban nem saját foglalkoztatottnak fizetett juttatások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0682F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1 020 818 Ft</w:t>
            </w:r>
          </w:p>
        </w:tc>
      </w:tr>
      <w:tr w:rsidR="00B12555" w:rsidRPr="00B12555" w14:paraId="0E2B876A" w14:textId="77777777" w:rsidTr="00B1255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3689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0B39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Munkaadókat terhelő járulékok és szociális hozzájárulási adó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2614C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119 436 Ft</w:t>
            </w:r>
          </w:p>
        </w:tc>
      </w:tr>
      <w:tr w:rsidR="00B12555" w:rsidRPr="00B12555" w14:paraId="7AA9166B" w14:textId="77777777" w:rsidTr="00B1255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A914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K336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2741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Szakmai tevékenységet segítő szolgáltatások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BAAED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840 254 Ft</w:t>
            </w:r>
          </w:p>
        </w:tc>
      </w:tr>
      <w:tr w:rsidR="00B12555" w:rsidRPr="00B12555" w14:paraId="6ABC83A9" w14:textId="77777777" w:rsidTr="00B1255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FC49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K342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4845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Reklám- és propagandakiadások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57168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380 085 Ft</w:t>
            </w:r>
          </w:p>
        </w:tc>
      </w:tr>
      <w:tr w:rsidR="00B12555" w:rsidRPr="00B12555" w14:paraId="54C91A31" w14:textId="77777777" w:rsidTr="00B1255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E547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K351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AA6F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Működési célú előzetesen felszámított általános forgalmi adó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A55C5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340 292 Ft</w:t>
            </w:r>
          </w:p>
        </w:tc>
      </w:tr>
      <w:tr w:rsidR="00B12555" w:rsidRPr="00B12555" w14:paraId="1E1EAD6B" w14:textId="77777777" w:rsidTr="00B1255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A969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K355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F24A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Egyéb dologi kiadások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CF639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300 000 Ft</w:t>
            </w:r>
          </w:p>
        </w:tc>
      </w:tr>
      <w:tr w:rsidR="00B12555" w:rsidRPr="00B12555" w14:paraId="020A38F1" w14:textId="77777777" w:rsidTr="00B1255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FAB01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B12555">
              <w:rPr>
                <w:szCs w:val="24"/>
              </w:rPr>
              <w:t>K61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03A2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Cs w:val="24"/>
              </w:rPr>
            </w:pPr>
            <w:r w:rsidRPr="00B12555">
              <w:rPr>
                <w:szCs w:val="24"/>
              </w:rPr>
              <w:t>Immateriális javak beszerzése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80F28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szCs w:val="24"/>
              </w:rPr>
            </w:pPr>
            <w:r w:rsidRPr="00B12555">
              <w:rPr>
                <w:szCs w:val="24"/>
              </w:rPr>
              <w:t>5 540 023 Ft</w:t>
            </w:r>
          </w:p>
        </w:tc>
      </w:tr>
      <w:tr w:rsidR="00B12555" w:rsidRPr="00B12555" w14:paraId="175293C9" w14:textId="77777777" w:rsidTr="00B1255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2CFF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K62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1C5D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Ingatlanok beszerzése, létesítése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AF194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73 137 519 Ft</w:t>
            </w:r>
          </w:p>
        </w:tc>
      </w:tr>
      <w:tr w:rsidR="00B12555" w:rsidRPr="00B12555" w14:paraId="0480BD30" w14:textId="77777777" w:rsidTr="00B12555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3167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lastRenderedPageBreak/>
              <w:t>K67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1CC7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Beruházási célú előzetesen felszámított általános forgalmi adó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CC865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21 161 936 Ft</w:t>
            </w:r>
          </w:p>
        </w:tc>
      </w:tr>
      <w:tr w:rsidR="00B12555" w:rsidRPr="00B12555" w14:paraId="2665C4F8" w14:textId="77777777" w:rsidTr="00B12555">
        <w:trPr>
          <w:trHeight w:val="330"/>
          <w:jc w:val="center"/>
        </w:trPr>
        <w:tc>
          <w:tcPr>
            <w:tcW w:w="6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E67C87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Kiadások Mindösszesen: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439AE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102 840 363 Ft</w:t>
            </w:r>
          </w:p>
        </w:tc>
      </w:tr>
      <w:tr w:rsidR="00B12555" w:rsidRPr="00B12555" w14:paraId="71B53077" w14:textId="77777777" w:rsidTr="00B12555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2235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B407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0300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Általános forgalmi adó visszatérítése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AF63D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21 502 228 Ft</w:t>
            </w:r>
          </w:p>
        </w:tc>
      </w:tr>
      <w:tr w:rsidR="00B12555" w:rsidRPr="00B12555" w14:paraId="50A60B34" w14:textId="77777777" w:rsidTr="00B12555">
        <w:trPr>
          <w:trHeight w:val="6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28CF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B16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7679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Egyéb működési célú támogatások bevételei államháztartáson belülről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8E1AB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2 660 593 Ft</w:t>
            </w:r>
          </w:p>
        </w:tc>
      </w:tr>
      <w:tr w:rsidR="00B12555" w:rsidRPr="00B12555" w14:paraId="22F8D80B" w14:textId="77777777" w:rsidTr="00B12555">
        <w:trPr>
          <w:trHeight w:val="6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9892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B25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C1E1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Egyéb felhalmozási célú támogatások bevételei államháztartáson belülről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787FE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78 677 542 Ft</w:t>
            </w:r>
          </w:p>
        </w:tc>
      </w:tr>
      <w:tr w:rsidR="00B12555" w:rsidRPr="00B12555" w14:paraId="67C61E7E" w14:textId="77777777" w:rsidTr="00B12555">
        <w:trPr>
          <w:trHeight w:val="330"/>
          <w:jc w:val="center"/>
        </w:trPr>
        <w:tc>
          <w:tcPr>
            <w:tcW w:w="6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84DD63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Bevételek Mindösszesen: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DEC10" w14:textId="77777777" w:rsidR="00B12555" w:rsidRPr="00B12555" w:rsidRDefault="00B12555" w:rsidP="00B12555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B12555">
              <w:rPr>
                <w:color w:val="000000"/>
                <w:szCs w:val="24"/>
              </w:rPr>
              <w:t>102 840 363 Ft</w:t>
            </w:r>
          </w:p>
        </w:tc>
      </w:tr>
    </w:tbl>
    <w:p w14:paraId="6C1756B5" w14:textId="0BA5F397" w:rsidR="00F14ACF" w:rsidRDefault="00C07C5D" w:rsidP="00EB5CEC">
      <w:pPr>
        <w:pStyle w:val="Listaszerbekezds"/>
        <w:ind w:left="426" w:hanging="426"/>
      </w:pPr>
      <w:r>
        <w:t>Önkormányzatunk a „</w:t>
      </w:r>
      <w:r w:rsidR="005778B8">
        <w:t>Szociális célú városrehabilitációt segítő programok Tiszavasváriban</w:t>
      </w:r>
      <w:r>
        <w:t>” című pályázat keretében</w:t>
      </w:r>
      <w:r w:rsidR="005778B8">
        <w:t xml:space="preserve"> összesen 52.868.063</w:t>
      </w:r>
      <w:r>
        <w:t xml:space="preserve"> Ft támogatásban részesül. </w:t>
      </w:r>
      <w:r w:rsidR="005778B8">
        <w:t xml:space="preserve">A pályázatban konzorciumi partnerként szerepel a </w:t>
      </w:r>
      <w:r w:rsidR="005778B8" w:rsidRPr="005778B8">
        <w:t>K</w:t>
      </w:r>
      <w:r w:rsidR="005778B8">
        <w:t>ornisné</w:t>
      </w:r>
      <w:r w:rsidR="005778B8" w:rsidRPr="005778B8">
        <w:t xml:space="preserve"> K</w:t>
      </w:r>
      <w:r w:rsidR="005778B8">
        <w:t>özpont, mely szervezet a támogatásból 26.932.805 Ft-ra jogosult. Az ezzel kapcsolatos költségvetés módosítás az előterjesztés mellékletében szerepel. Az Önkormányzat 25.935.258 Ft-os támogatása miatt pedig az Önkormányzat költségvetésében az alábbi táblázat szerinti módosítás elfogadását javaslom:</w:t>
      </w:r>
    </w:p>
    <w:tbl>
      <w:tblPr>
        <w:tblW w:w="8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986"/>
        <w:gridCol w:w="1604"/>
      </w:tblGrid>
      <w:tr w:rsidR="005778B8" w:rsidRPr="005778B8" w14:paraId="0B95AF93" w14:textId="77777777" w:rsidTr="005778B8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5BBD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5778B8">
              <w:rPr>
                <w:b/>
                <w:bCs/>
                <w:sz w:val="22"/>
                <w:szCs w:val="22"/>
              </w:rPr>
              <w:t>062020</w:t>
            </w: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1031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  <w:r w:rsidRPr="005778B8">
              <w:rPr>
                <w:b/>
                <w:bCs/>
                <w:sz w:val="22"/>
                <w:szCs w:val="22"/>
              </w:rPr>
              <w:t>Településfejlesztési projektek és támogatásuk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F9EB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5778B8" w:rsidRPr="005778B8" w14:paraId="7E434EAB" w14:textId="77777777" w:rsidTr="005778B8">
        <w:trPr>
          <w:trHeight w:val="33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4FFB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FECA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647A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sz w:val="20"/>
              </w:rPr>
            </w:pPr>
          </w:p>
        </w:tc>
      </w:tr>
      <w:tr w:rsidR="005778B8" w:rsidRPr="005778B8" w14:paraId="54C03378" w14:textId="77777777" w:rsidTr="005778B8">
        <w:trPr>
          <w:trHeight w:val="6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F8B8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K122</w:t>
            </w:r>
          </w:p>
        </w:tc>
        <w:tc>
          <w:tcPr>
            <w:tcW w:w="5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9BC3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Munkavégzésre irányuló egyéb jogviszonyban nem saját foglalkoztatottnak fizetett juttatások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3577E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5 519 374 Ft</w:t>
            </w:r>
          </w:p>
        </w:tc>
      </w:tr>
      <w:tr w:rsidR="005778B8" w:rsidRPr="005778B8" w14:paraId="69A99FD0" w14:textId="77777777" w:rsidTr="005778B8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735C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K123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786D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Egyéb külső személyi juttatások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1A591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196 850 Ft</w:t>
            </w:r>
          </w:p>
        </w:tc>
      </w:tr>
      <w:tr w:rsidR="005778B8" w:rsidRPr="005778B8" w14:paraId="08125664" w14:textId="77777777" w:rsidTr="005778B8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DD62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K2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C4E1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Munkaadókat terhelő járulékok és szociális hozzájárulási adó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6C221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728 367 Ft</w:t>
            </w:r>
          </w:p>
        </w:tc>
      </w:tr>
      <w:tr w:rsidR="005778B8" w:rsidRPr="005778B8" w14:paraId="4EB18953" w14:textId="77777777" w:rsidTr="005778B8">
        <w:trPr>
          <w:trHeight w:val="36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EB1B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K336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4E2B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Szakmai tevékenységet segítő szolgáltatások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3758E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15 978 008 Ft</w:t>
            </w:r>
          </w:p>
        </w:tc>
      </w:tr>
      <w:tr w:rsidR="005778B8" w:rsidRPr="005778B8" w14:paraId="6759F012" w14:textId="77777777" w:rsidTr="005778B8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0C99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K342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FC15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Reklám- és propagandakiadások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49BCD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247 047 Ft</w:t>
            </w:r>
          </w:p>
        </w:tc>
      </w:tr>
      <w:tr w:rsidR="005778B8" w:rsidRPr="005778B8" w14:paraId="16223B17" w14:textId="77777777" w:rsidTr="005778B8">
        <w:trPr>
          <w:trHeight w:val="6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D243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K351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0125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Működési célú előzetesen felszámított általános forgalmi adó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EDA1D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3 265 612 Ft</w:t>
            </w:r>
          </w:p>
        </w:tc>
      </w:tr>
      <w:tr w:rsidR="005778B8" w:rsidRPr="005778B8" w14:paraId="452391C0" w14:textId="77777777" w:rsidTr="005778B8">
        <w:trPr>
          <w:trHeight w:val="330"/>
          <w:jc w:val="center"/>
        </w:trPr>
        <w:tc>
          <w:tcPr>
            <w:tcW w:w="6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41AFCE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Kiadások Mindösszesen: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2527F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25 935 258 Ft</w:t>
            </w:r>
          </w:p>
        </w:tc>
      </w:tr>
      <w:tr w:rsidR="005778B8" w:rsidRPr="005778B8" w14:paraId="48FEE41D" w14:textId="77777777" w:rsidTr="005778B8">
        <w:trPr>
          <w:trHeight w:val="330"/>
          <w:jc w:val="center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54C3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B16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606E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Egyéb működési célú támogatások bevételei államháztartáson belülről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34085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25 935 258 Ft</w:t>
            </w:r>
          </w:p>
        </w:tc>
      </w:tr>
      <w:tr w:rsidR="005778B8" w:rsidRPr="005778B8" w14:paraId="6B8F6B38" w14:textId="77777777" w:rsidTr="005778B8">
        <w:trPr>
          <w:trHeight w:val="330"/>
          <w:jc w:val="center"/>
        </w:trPr>
        <w:tc>
          <w:tcPr>
            <w:tcW w:w="6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821669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5778B8">
              <w:rPr>
                <w:color w:val="000000"/>
                <w:sz w:val="22"/>
                <w:szCs w:val="22"/>
              </w:rPr>
              <w:t>Bevételek Mindösszesen: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29DE0" w14:textId="77777777" w:rsidR="005778B8" w:rsidRPr="005778B8" w:rsidRDefault="005778B8" w:rsidP="005778B8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color w:val="000000"/>
                <w:szCs w:val="24"/>
              </w:rPr>
            </w:pPr>
            <w:r w:rsidRPr="005778B8">
              <w:rPr>
                <w:color w:val="000000"/>
                <w:szCs w:val="24"/>
              </w:rPr>
              <w:t>25 935 258 Ft</w:t>
            </w:r>
          </w:p>
        </w:tc>
      </w:tr>
    </w:tbl>
    <w:p w14:paraId="2A2B73CC" w14:textId="77777777" w:rsidR="005778B8" w:rsidRPr="005778B8" w:rsidRDefault="005778B8" w:rsidP="005778B8"/>
    <w:p w14:paraId="18700A3B" w14:textId="77777777" w:rsidR="005778B8" w:rsidRPr="005778B8" w:rsidRDefault="005778B8" w:rsidP="005778B8"/>
    <w:p w14:paraId="2247A174" w14:textId="77777777" w:rsidR="00B541DE" w:rsidRPr="009114F0" w:rsidRDefault="00B541DE" w:rsidP="00B541DE">
      <w:pPr>
        <w:spacing w:before="240"/>
      </w:pPr>
      <w:r w:rsidRPr="009114F0">
        <w:t>Tájékoztatásul közlöm, hogy az alábbiakban felsorolt átruházott hatáskörű döntések a költségvetésben átvezetésre kerülnek:</w:t>
      </w:r>
    </w:p>
    <w:p w14:paraId="011EA0F9" w14:textId="77777777" w:rsidR="00B541DE" w:rsidRDefault="00B541DE" w:rsidP="000B3F4F"/>
    <w:p w14:paraId="50A91506" w14:textId="792EF177" w:rsidR="00B541DE" w:rsidRDefault="00B541DE" w:rsidP="000B3F4F">
      <w:pPr>
        <w:rPr>
          <w:szCs w:val="24"/>
        </w:rPr>
      </w:pPr>
      <w:r w:rsidRPr="009114F0">
        <w:rPr>
          <w:szCs w:val="24"/>
        </w:rPr>
        <w:t xml:space="preserve">Az </w:t>
      </w:r>
      <w:r w:rsidRPr="009114F0">
        <w:rPr>
          <w:b/>
          <w:szCs w:val="24"/>
        </w:rPr>
        <w:t>1/2022</w:t>
      </w:r>
      <w:r w:rsidRPr="009114F0">
        <w:rPr>
          <w:szCs w:val="24"/>
        </w:rPr>
        <w:t>. iratszámú saját hatáskörű döntést</w:t>
      </w:r>
      <w:r>
        <w:rPr>
          <w:szCs w:val="24"/>
        </w:rPr>
        <w:t xml:space="preserve"> két </w:t>
      </w:r>
      <w:r w:rsidRPr="009114F0">
        <w:rPr>
          <w:szCs w:val="24"/>
        </w:rPr>
        <w:t>ok miatt hoztam meg:</w:t>
      </w:r>
    </w:p>
    <w:p w14:paraId="23D14401" w14:textId="77777777" w:rsidR="00B541DE" w:rsidRDefault="00B541DE" w:rsidP="000B3F4F">
      <w:pPr>
        <w:rPr>
          <w:szCs w:val="24"/>
        </w:rPr>
      </w:pPr>
    </w:p>
    <w:p w14:paraId="733D80CB" w14:textId="26DC1C91" w:rsidR="00B541DE" w:rsidRDefault="00B541DE" w:rsidP="00B541DE">
      <w:pPr>
        <w:pStyle w:val="Listaszerbekezds"/>
        <w:numPr>
          <w:ilvl w:val="0"/>
          <w:numId w:val="39"/>
        </w:numPr>
        <w:overflowPunct/>
        <w:autoSpaceDE/>
        <w:autoSpaceDN/>
        <w:adjustRightInd/>
        <w:spacing w:before="0" w:after="200"/>
        <w:ind w:left="425" w:hanging="426"/>
        <w:textAlignment w:val="auto"/>
        <w:rPr>
          <w:rFonts w:cs="Times New Roman"/>
          <w:szCs w:val="24"/>
        </w:rPr>
      </w:pPr>
      <w:r w:rsidRPr="00F3038C">
        <w:rPr>
          <w:rFonts w:cs="Times New Roman"/>
          <w:szCs w:val="24"/>
        </w:rPr>
        <w:t>A Képviselő-testület a 311/2022. (IX.30.) Kt. számú határozatával döntött arról, hogy az OTP Bank Nyrt. részére a Találkozások Háza jobb oldali épületszárnyában található földszinti részének 120 m</w:t>
      </w:r>
      <w:r w:rsidRPr="00F3038C">
        <w:rPr>
          <w:rFonts w:cs="Times New Roman"/>
          <w:szCs w:val="24"/>
          <w:vertAlign w:val="superscript"/>
        </w:rPr>
        <w:t>2</w:t>
      </w:r>
      <w:r w:rsidRPr="00F3038C">
        <w:rPr>
          <w:rFonts w:cs="Times New Roman"/>
          <w:szCs w:val="24"/>
        </w:rPr>
        <w:t xml:space="preserve"> nagyságú területét - banki és pénzügyi szolgáltató tevékenység céljára - a Tiszavasvári, Kossuth u. 6. szám alatti OTP Tiszavasvári Fiókja felújításának időtartamára – bérbe adja. A bérleti jogviszony 2023. január 16. napjától 2023. szeptember </w:t>
      </w:r>
      <w:r w:rsidRPr="00F3038C">
        <w:rPr>
          <w:rFonts w:cs="Times New Roman"/>
          <w:szCs w:val="24"/>
        </w:rPr>
        <w:lastRenderedPageBreak/>
        <w:t>15. napjáig szól. A bérlő a bérleti díjon kívül a közüzemi díjak megfizetésére is köteles. A helyiségre vonatkozó közüzemi számlákat az EKIK állítja ki a bérlő részére. Az intézménynél</w:t>
      </w:r>
      <w:r>
        <w:rPr>
          <w:rFonts w:cs="Times New Roman"/>
          <w:szCs w:val="24"/>
        </w:rPr>
        <w:t xml:space="preserve"> az</w:t>
      </w:r>
      <w:r w:rsidRPr="00F3038C">
        <w:rPr>
          <w:rFonts w:cs="Times New Roman"/>
          <w:szCs w:val="24"/>
        </w:rPr>
        <w:t xml:space="preserve"> eredeti költségvetésben nem került tervezésre közvetített szolgáltatás kiadási előirányzata, viszont a tovább</w:t>
      </w:r>
      <w:r>
        <w:rPr>
          <w:rFonts w:cs="Times New Roman"/>
          <w:szCs w:val="24"/>
        </w:rPr>
        <w:t xml:space="preserve"> </w:t>
      </w:r>
      <w:r w:rsidRPr="00F3038C">
        <w:rPr>
          <w:rFonts w:cs="Times New Roman"/>
          <w:szCs w:val="24"/>
        </w:rPr>
        <w:t>számlázáshoz szükséges</w:t>
      </w:r>
      <w:r>
        <w:rPr>
          <w:rFonts w:cs="Times New Roman"/>
          <w:szCs w:val="24"/>
        </w:rPr>
        <w:t xml:space="preserve"> volt</w:t>
      </w:r>
      <w:r w:rsidRPr="00F3038C">
        <w:rPr>
          <w:rFonts w:cs="Times New Roman"/>
          <w:szCs w:val="24"/>
        </w:rPr>
        <w:t xml:space="preserve"> előirányzatot biztosítani.   </w:t>
      </w:r>
    </w:p>
    <w:p w14:paraId="029B6F2D" w14:textId="0C7017D1" w:rsidR="00B541DE" w:rsidRPr="00F3038C" w:rsidRDefault="00B541DE" w:rsidP="00B541DE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before="0" w:after="200"/>
        <w:ind w:left="425"/>
        <w:textAlignment w:val="auto"/>
        <w:rPr>
          <w:rFonts w:cs="Times New Roman"/>
          <w:color w:val="000000"/>
          <w:szCs w:val="24"/>
        </w:rPr>
      </w:pPr>
      <w:r>
        <w:t>Ezért a</w:t>
      </w:r>
      <w:r w:rsidRPr="00F3038C">
        <w:rPr>
          <w:rFonts w:cs="Times New Roman"/>
          <w:szCs w:val="24"/>
        </w:rPr>
        <w:t xml:space="preserve">z Egyesített Közművelődési Intézmény és Könyvtár költségvetésében </w:t>
      </w:r>
      <w:r w:rsidRPr="00F3038C">
        <w:rPr>
          <w:rFonts w:cs="Times New Roman"/>
          <w:color w:val="000000"/>
          <w:szCs w:val="24"/>
        </w:rPr>
        <w:t>Közművelődés - közösségi és társadalmi részvétel fejlesztése</w:t>
      </w:r>
      <w:r w:rsidRPr="00F3038C">
        <w:rPr>
          <w:rFonts w:cs="Times New Roman"/>
          <w:szCs w:val="24"/>
        </w:rPr>
        <w:t xml:space="preserve"> (082091-Köt.) kormányzati funkción</w:t>
      </w:r>
      <w:r>
        <w:rPr>
          <w:rFonts w:cs="Times New Roman"/>
          <w:szCs w:val="24"/>
        </w:rPr>
        <w:t xml:space="preserve"> a</w:t>
      </w:r>
      <w:r w:rsidRPr="00F3038C">
        <w:rPr>
          <w:rFonts w:cs="Times New Roman"/>
          <w:szCs w:val="24"/>
        </w:rPr>
        <w:t xml:space="preserve"> </w:t>
      </w:r>
      <w:r w:rsidRPr="00F3038C">
        <w:rPr>
          <w:rFonts w:cs="Times New Roman"/>
          <w:color w:val="000000"/>
          <w:szCs w:val="24"/>
        </w:rPr>
        <w:t>Közvetített szolgáltatások</w:t>
      </w:r>
      <w:r w:rsidRPr="00F3038C">
        <w:rPr>
          <w:rFonts w:cs="Times New Roman"/>
          <w:szCs w:val="24"/>
        </w:rPr>
        <w:t xml:space="preserve"> (K335) kiadási előirányzatát 1.300.300 Ft-tal, a </w:t>
      </w:r>
      <w:r w:rsidRPr="00F3038C">
        <w:rPr>
          <w:rFonts w:cs="Times New Roman"/>
          <w:color w:val="000000"/>
          <w:szCs w:val="24"/>
        </w:rPr>
        <w:t xml:space="preserve">Működési célú előzetesen felszámított általános forgalmi adó (K351) kiadási előirányzatát 351.081 Ft-tal </w:t>
      </w:r>
      <w:r w:rsidRPr="00F3038C">
        <w:rPr>
          <w:rFonts w:cs="Times New Roman"/>
          <w:szCs w:val="24"/>
        </w:rPr>
        <w:t>megemel</w:t>
      </w:r>
      <w:r>
        <w:rPr>
          <w:rFonts w:cs="Times New Roman"/>
          <w:szCs w:val="24"/>
        </w:rPr>
        <w:t>t</w:t>
      </w:r>
      <w:r w:rsidRPr="00F3038C">
        <w:rPr>
          <w:rFonts w:cs="Times New Roman"/>
          <w:szCs w:val="24"/>
        </w:rPr>
        <w:t xml:space="preserve">em. Ezzel egyidőben a </w:t>
      </w:r>
      <w:r w:rsidRPr="00F3038C">
        <w:rPr>
          <w:rFonts w:cs="Times New Roman"/>
          <w:color w:val="000000"/>
          <w:szCs w:val="24"/>
        </w:rPr>
        <w:t>Közvetített szolgáltatások ellenértéke (B403) bevételi előirányzata 1</w:t>
      </w:r>
      <w:r>
        <w:rPr>
          <w:rFonts w:cs="Times New Roman"/>
          <w:color w:val="000000"/>
          <w:szCs w:val="24"/>
        </w:rPr>
        <w:t>.</w:t>
      </w:r>
      <w:r w:rsidRPr="00F3038C">
        <w:rPr>
          <w:rFonts w:cs="Times New Roman"/>
          <w:color w:val="000000"/>
          <w:szCs w:val="24"/>
        </w:rPr>
        <w:t>300.300 Ft-tal, a Kiszámlázott általános forgalmi adó (B406) bevételi előirányzata 351.081 Ft-tal nő</w:t>
      </w:r>
      <w:r>
        <w:rPr>
          <w:rFonts w:cs="Times New Roman"/>
          <w:color w:val="000000"/>
          <w:szCs w:val="24"/>
        </w:rPr>
        <w:t>tt</w:t>
      </w:r>
      <w:r w:rsidRPr="00F3038C">
        <w:rPr>
          <w:rFonts w:cs="Times New Roman"/>
          <w:color w:val="000000"/>
          <w:szCs w:val="24"/>
        </w:rPr>
        <w:t>.</w:t>
      </w:r>
    </w:p>
    <w:p w14:paraId="31F49429" w14:textId="419D0EE4" w:rsidR="00B541DE" w:rsidRPr="00F3038C" w:rsidRDefault="00B541DE" w:rsidP="00B541DE">
      <w:pPr>
        <w:pStyle w:val="Listaszerbekezds"/>
        <w:numPr>
          <w:ilvl w:val="0"/>
          <w:numId w:val="39"/>
        </w:numPr>
        <w:ind w:left="426" w:hanging="426"/>
        <w:rPr>
          <w:rFonts w:cs="Times New Roman"/>
          <w:szCs w:val="24"/>
        </w:rPr>
      </w:pPr>
      <w:r w:rsidRPr="00F3038C">
        <w:rPr>
          <w:rFonts w:cs="Times New Roman"/>
          <w:szCs w:val="24"/>
        </w:rPr>
        <w:t>Az „Infrastrukturális fejlesztések megvalósítása Tiszavasvári Városban” pályázattal kapcsolatban 28.423.849 Ft kötbér bevétel fog keletkezni Önkormányzatunknak. A támogatóval történt egyeztetés alapján a bevételt a pályázatra kell fordítani az elszámolhatóság érdekében. Ezért a bevétel</w:t>
      </w:r>
      <w:r>
        <w:rPr>
          <w:rFonts w:cs="Times New Roman"/>
          <w:szCs w:val="24"/>
        </w:rPr>
        <w:t xml:space="preserve"> egy részéből</w:t>
      </w:r>
      <w:r w:rsidRPr="00F3038C">
        <w:rPr>
          <w:rFonts w:cs="Times New Roman"/>
          <w:szCs w:val="24"/>
        </w:rPr>
        <w:t xml:space="preserve"> céltartalékot</w:t>
      </w:r>
      <w:r>
        <w:rPr>
          <w:rFonts w:cs="Times New Roman"/>
          <w:szCs w:val="24"/>
        </w:rPr>
        <w:t xml:space="preserve"> képeztem.</w:t>
      </w:r>
      <w:r w:rsidRPr="00F3038C">
        <w:rPr>
          <w:rFonts w:cs="Times New Roman"/>
          <w:szCs w:val="24"/>
        </w:rPr>
        <w:t xml:space="preserve"> A Képviselő-testület 2023. március 24-ei rendkívüli testületi ülésen döntött az „Infrastrukturális fejlesztések megvalósítása Tiszavasváriban” című támogatásból megvalósuló Gyepmesteri telep kialakítása tárgyban közbeszerzési eljárásának lezárásáról. A döntés alapján a projekt kivitelezésére a rendelkezésre álló anyagi fedezet összegén felül nettó 8.054.324 Ft + Áfa költséget biztosít és felkért, hogy a szükséges fedezet biztosításáról gondoskodjak.</w:t>
      </w:r>
    </w:p>
    <w:p w14:paraId="0DBC23FB" w14:textId="62888186" w:rsidR="009B5755" w:rsidRPr="009B5755" w:rsidRDefault="009B5755" w:rsidP="009B5755">
      <w:pPr>
        <w:pStyle w:val="Listaszerbekezds"/>
        <w:numPr>
          <w:ilvl w:val="0"/>
          <w:numId w:val="0"/>
        </w:numPr>
        <w:ind w:left="426"/>
        <w:rPr>
          <w:rFonts w:cs="Times New Roman"/>
          <w:szCs w:val="24"/>
        </w:rPr>
      </w:pPr>
      <w:r w:rsidRPr="009B5755">
        <w:rPr>
          <w:rFonts w:cs="Times New Roman"/>
          <w:szCs w:val="24"/>
        </w:rPr>
        <w:t>Ezért Az Önkormányzat költségvetésében a Háziorvosi alapellátás (072111-Köt.) kormányzati funkción az Egyéb működési bevételek (B411) bevételi előirányzatát 28.423.849 Ft-tal megemel</w:t>
      </w:r>
      <w:r>
        <w:rPr>
          <w:rFonts w:cs="Times New Roman"/>
          <w:szCs w:val="24"/>
        </w:rPr>
        <w:t>t</w:t>
      </w:r>
      <w:r w:rsidRPr="009B5755">
        <w:rPr>
          <w:rFonts w:cs="Times New Roman"/>
          <w:szCs w:val="24"/>
        </w:rPr>
        <w:t>em. Ezzel egyidőben az Állat-egészségügy (042180-Önv.) kormányzati funkción az Ingatlanok beszerzése, létesítése (K62) kiadási előirányzatát 8.054.323 Ft-tal, a Fizetendő általános forgalmi adó (K352) kiadási előirányzatát 2.174.667 Ft-tal megnövel</w:t>
      </w:r>
      <w:r>
        <w:rPr>
          <w:rFonts w:cs="Times New Roman"/>
          <w:szCs w:val="24"/>
        </w:rPr>
        <w:t>t</w:t>
      </w:r>
      <w:r w:rsidRPr="009B5755">
        <w:rPr>
          <w:rFonts w:cs="Times New Roman"/>
          <w:szCs w:val="24"/>
        </w:rPr>
        <w:t>em. Fentiek hatására a céltartalék előirányzata 18.194.859 Ft-tal nő</w:t>
      </w:r>
      <w:r>
        <w:rPr>
          <w:rFonts w:cs="Times New Roman"/>
          <w:szCs w:val="24"/>
        </w:rPr>
        <w:t>tt</w:t>
      </w:r>
      <w:r w:rsidRPr="009B5755">
        <w:rPr>
          <w:rFonts w:cs="Times New Roman"/>
          <w:szCs w:val="24"/>
        </w:rPr>
        <w:t>.</w:t>
      </w:r>
    </w:p>
    <w:p w14:paraId="7B974E21" w14:textId="05BD099D" w:rsidR="00B541DE" w:rsidRPr="00B541DE" w:rsidRDefault="00B541DE" w:rsidP="00B541DE"/>
    <w:p w14:paraId="6DF5D23F" w14:textId="7EB662AA" w:rsidR="00831EDA" w:rsidRDefault="005359E0" w:rsidP="00831EDA">
      <w:pPr>
        <w:ind w:left="0" w:firstLine="426"/>
      </w:pPr>
      <w:r w:rsidRPr="006A495C">
        <w:t>Tiszavasvári, 202</w:t>
      </w:r>
      <w:r w:rsidR="00383479">
        <w:t>3</w:t>
      </w:r>
      <w:r w:rsidR="00831EDA">
        <w:t>.</w:t>
      </w:r>
      <w:r w:rsidRPr="006A495C">
        <w:t xml:space="preserve"> </w:t>
      </w:r>
      <w:r w:rsidR="000048E2">
        <w:t>április 21.</w:t>
      </w:r>
    </w:p>
    <w:p w14:paraId="3357AD8F" w14:textId="77777777" w:rsidR="00151A1A" w:rsidRDefault="00151A1A" w:rsidP="00831EDA">
      <w:pPr>
        <w:ind w:left="0" w:firstLine="426"/>
      </w:pPr>
    </w:p>
    <w:p w14:paraId="007E1606" w14:textId="21C2BA5A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r w:rsidR="005359E0" w:rsidRPr="006A495C">
        <w:rPr>
          <w:b/>
        </w:rPr>
        <w:t>Szőke Zoltán</w:t>
      </w:r>
    </w:p>
    <w:p w14:paraId="001F9975" w14:textId="4673DF18" w:rsidR="005359E0" w:rsidRDefault="00831EDA" w:rsidP="005359E0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polgármester</w:t>
      </w:r>
    </w:p>
    <w:p w14:paraId="77B2C656" w14:textId="1DFAEC44" w:rsidR="005778B8" w:rsidRDefault="005778B8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  <w:r>
        <w:rPr>
          <w:b/>
        </w:rPr>
        <w:br w:type="page"/>
      </w:r>
    </w:p>
    <w:p w14:paraId="3E46AFC4" w14:textId="7B929610" w:rsidR="00151A1A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1DE9301" wp14:editId="48AEF8FB">
            <wp:extent cx="5756910" cy="8145780"/>
            <wp:effectExtent l="0" t="0" r="0" b="762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14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3284E" w14:textId="77777777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5D559148" w14:textId="77777777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19146E5A" w14:textId="77777777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33162832" w14:textId="77777777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2D96A53E" w14:textId="77777777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  <w:sectPr w:rsidR="005778B8" w:rsidSect="007A5AB5">
          <w:pgSz w:w="11907" w:h="16840" w:code="9"/>
          <w:pgMar w:top="1417" w:right="1418" w:bottom="1417" w:left="1417" w:header="708" w:footer="708" w:gutter="0"/>
          <w:cols w:space="708"/>
          <w:titlePg/>
          <w:docGrid w:linePitch="326"/>
        </w:sectPr>
      </w:pPr>
      <w:r>
        <w:rPr>
          <w:b/>
          <w:noProof/>
        </w:rPr>
        <w:lastRenderedPageBreak/>
        <w:drawing>
          <wp:inline distT="0" distB="0" distL="0" distR="0" wp14:anchorId="29623100" wp14:editId="40601F8B">
            <wp:extent cx="5756910" cy="8145780"/>
            <wp:effectExtent l="0" t="0" r="0" b="762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14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D54E0" w14:textId="5B306025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18E9A1CB" wp14:editId="5FF528F0">
            <wp:extent cx="8145780" cy="5756910"/>
            <wp:effectExtent l="0" t="0" r="762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5780" cy="575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8B8" w:rsidSect="005778B8">
      <w:pgSz w:w="16840" w:h="11907" w:orient="landscape" w:code="9"/>
      <w:pgMar w:top="1418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92D18" w14:textId="77777777" w:rsidR="00385BB1" w:rsidRDefault="00385BB1" w:rsidP="00D745C1">
      <w:r>
        <w:separator/>
      </w:r>
    </w:p>
  </w:endnote>
  <w:endnote w:type="continuationSeparator" w:id="0">
    <w:p w14:paraId="45B2EC00" w14:textId="77777777" w:rsidR="00385BB1" w:rsidRDefault="00385BB1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2800" w14:textId="77777777" w:rsidR="00385BB1" w:rsidRDefault="00385BB1" w:rsidP="00D745C1">
      <w:r>
        <w:separator/>
      </w:r>
    </w:p>
  </w:footnote>
  <w:footnote w:type="continuationSeparator" w:id="0">
    <w:p w14:paraId="61299390" w14:textId="77777777" w:rsidR="00385BB1" w:rsidRDefault="00385BB1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3C89"/>
    <w:multiLevelType w:val="hybridMultilevel"/>
    <w:tmpl w:val="262CE6B0"/>
    <w:lvl w:ilvl="0" w:tplc="4C085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64AB"/>
    <w:multiLevelType w:val="hybridMultilevel"/>
    <w:tmpl w:val="EC7CDEE0"/>
    <w:lvl w:ilvl="0" w:tplc="C73A75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24593F"/>
    <w:multiLevelType w:val="hybridMultilevel"/>
    <w:tmpl w:val="3C88BA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93A95"/>
    <w:multiLevelType w:val="hybridMultilevel"/>
    <w:tmpl w:val="2BE457BC"/>
    <w:lvl w:ilvl="0" w:tplc="519E6DCC">
      <w:start w:val="1"/>
      <w:numFmt w:val="decimal"/>
      <w:pStyle w:val="Listaszerbekezds"/>
      <w:lvlText w:val="%1."/>
      <w:lvlJc w:val="left"/>
      <w:pPr>
        <w:ind w:left="1145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F4D59F0"/>
    <w:multiLevelType w:val="hybridMultilevel"/>
    <w:tmpl w:val="7C901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D18DF"/>
    <w:multiLevelType w:val="hybridMultilevel"/>
    <w:tmpl w:val="F4B4454E"/>
    <w:lvl w:ilvl="0" w:tplc="54FCAA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66D9A"/>
    <w:multiLevelType w:val="hybridMultilevel"/>
    <w:tmpl w:val="267EF1E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CC2081"/>
    <w:multiLevelType w:val="hybridMultilevel"/>
    <w:tmpl w:val="DF86AA60"/>
    <w:lvl w:ilvl="0" w:tplc="D28CF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D53DE"/>
    <w:multiLevelType w:val="hybridMultilevel"/>
    <w:tmpl w:val="236C3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F067DA"/>
    <w:multiLevelType w:val="hybridMultilevel"/>
    <w:tmpl w:val="68CA8E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A1D09"/>
    <w:multiLevelType w:val="hybridMultilevel"/>
    <w:tmpl w:val="25CEAB18"/>
    <w:lvl w:ilvl="0" w:tplc="F99EA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281C66"/>
    <w:multiLevelType w:val="hybridMultilevel"/>
    <w:tmpl w:val="DDF833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446D3"/>
    <w:multiLevelType w:val="hybridMultilevel"/>
    <w:tmpl w:val="DD98A97E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C211A65"/>
    <w:multiLevelType w:val="hybridMultilevel"/>
    <w:tmpl w:val="862A8F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21DDA"/>
    <w:multiLevelType w:val="hybridMultilevel"/>
    <w:tmpl w:val="39C6C4DC"/>
    <w:lvl w:ilvl="0" w:tplc="D128688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6F751AD"/>
    <w:multiLevelType w:val="hybridMultilevel"/>
    <w:tmpl w:val="3084B0E2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9D2114"/>
    <w:multiLevelType w:val="hybridMultilevel"/>
    <w:tmpl w:val="1D468D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81BA2"/>
    <w:multiLevelType w:val="hybridMultilevel"/>
    <w:tmpl w:val="63D8D4AE"/>
    <w:lvl w:ilvl="0" w:tplc="F1000E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E0BC2"/>
    <w:multiLevelType w:val="hybridMultilevel"/>
    <w:tmpl w:val="267EF1E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EA03D5"/>
    <w:multiLevelType w:val="hybridMultilevel"/>
    <w:tmpl w:val="3E06ED44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D3C488A"/>
    <w:multiLevelType w:val="hybridMultilevel"/>
    <w:tmpl w:val="8A240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891651">
    <w:abstractNumId w:val="3"/>
  </w:num>
  <w:num w:numId="2" w16cid:durableId="932476414">
    <w:abstractNumId w:val="3"/>
    <w:lvlOverride w:ilvl="0">
      <w:startOverride w:val="1"/>
    </w:lvlOverride>
  </w:num>
  <w:num w:numId="3" w16cid:durableId="1186212846">
    <w:abstractNumId w:val="3"/>
    <w:lvlOverride w:ilvl="0">
      <w:startOverride w:val="1"/>
    </w:lvlOverride>
  </w:num>
  <w:num w:numId="4" w16cid:durableId="1922518760">
    <w:abstractNumId w:val="3"/>
    <w:lvlOverride w:ilvl="0">
      <w:startOverride w:val="1"/>
    </w:lvlOverride>
  </w:num>
  <w:num w:numId="5" w16cid:durableId="339166745">
    <w:abstractNumId w:val="16"/>
  </w:num>
  <w:num w:numId="6" w16cid:durableId="1402365629">
    <w:abstractNumId w:val="9"/>
  </w:num>
  <w:num w:numId="7" w16cid:durableId="1141338202">
    <w:abstractNumId w:val="5"/>
  </w:num>
  <w:num w:numId="8" w16cid:durableId="907232474">
    <w:abstractNumId w:val="3"/>
    <w:lvlOverride w:ilvl="0">
      <w:startOverride w:val="1"/>
    </w:lvlOverride>
  </w:num>
  <w:num w:numId="9" w16cid:durableId="1613588403">
    <w:abstractNumId w:val="18"/>
  </w:num>
  <w:num w:numId="10" w16cid:durableId="1798555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5488299">
    <w:abstractNumId w:val="15"/>
  </w:num>
  <w:num w:numId="12" w16cid:durableId="621811269">
    <w:abstractNumId w:val="3"/>
    <w:lvlOverride w:ilvl="0">
      <w:startOverride w:val="1"/>
    </w:lvlOverride>
  </w:num>
  <w:num w:numId="13" w16cid:durableId="109054115">
    <w:abstractNumId w:val="3"/>
    <w:lvlOverride w:ilvl="0">
      <w:startOverride w:val="1"/>
    </w:lvlOverride>
  </w:num>
  <w:num w:numId="14" w16cid:durableId="1688480008">
    <w:abstractNumId w:val="3"/>
    <w:lvlOverride w:ilvl="0">
      <w:startOverride w:val="1"/>
    </w:lvlOverride>
  </w:num>
  <w:num w:numId="15" w16cid:durableId="754008895">
    <w:abstractNumId w:val="3"/>
    <w:lvlOverride w:ilvl="0">
      <w:startOverride w:val="1"/>
    </w:lvlOverride>
  </w:num>
  <w:num w:numId="16" w16cid:durableId="355499037">
    <w:abstractNumId w:val="3"/>
    <w:lvlOverride w:ilvl="0">
      <w:startOverride w:val="1"/>
    </w:lvlOverride>
  </w:num>
  <w:num w:numId="17" w16cid:durableId="1548953195">
    <w:abstractNumId w:val="3"/>
    <w:lvlOverride w:ilvl="0">
      <w:startOverride w:val="1"/>
    </w:lvlOverride>
  </w:num>
  <w:num w:numId="18" w16cid:durableId="1687634781">
    <w:abstractNumId w:val="17"/>
  </w:num>
  <w:num w:numId="19" w16cid:durableId="304235678">
    <w:abstractNumId w:val="0"/>
  </w:num>
  <w:num w:numId="20" w16cid:durableId="2063946091">
    <w:abstractNumId w:val="7"/>
  </w:num>
  <w:num w:numId="21" w16cid:durableId="944187645">
    <w:abstractNumId w:val="6"/>
  </w:num>
  <w:num w:numId="22" w16cid:durableId="1246769823">
    <w:abstractNumId w:val="19"/>
  </w:num>
  <w:num w:numId="23" w16cid:durableId="939679141">
    <w:abstractNumId w:val="3"/>
    <w:lvlOverride w:ilvl="0">
      <w:startOverride w:val="1"/>
    </w:lvlOverride>
  </w:num>
  <w:num w:numId="24" w16cid:durableId="553932577">
    <w:abstractNumId w:val="13"/>
  </w:num>
  <w:num w:numId="25" w16cid:durableId="1249535748">
    <w:abstractNumId w:val="12"/>
  </w:num>
  <w:num w:numId="26" w16cid:durableId="1303386084">
    <w:abstractNumId w:val="4"/>
  </w:num>
  <w:num w:numId="27" w16cid:durableId="1176963299">
    <w:abstractNumId w:val="8"/>
  </w:num>
  <w:num w:numId="28" w16cid:durableId="821316762">
    <w:abstractNumId w:val="11"/>
  </w:num>
  <w:num w:numId="29" w16cid:durableId="587739815">
    <w:abstractNumId w:val="14"/>
  </w:num>
  <w:num w:numId="30" w16cid:durableId="1864711585">
    <w:abstractNumId w:val="22"/>
  </w:num>
  <w:num w:numId="31" w16cid:durableId="2132161653">
    <w:abstractNumId w:val="2"/>
  </w:num>
  <w:num w:numId="32" w16cid:durableId="230967096">
    <w:abstractNumId w:val="3"/>
    <w:lvlOverride w:ilvl="0">
      <w:startOverride w:val="1"/>
    </w:lvlOverride>
  </w:num>
  <w:num w:numId="33" w16cid:durableId="1579973843">
    <w:abstractNumId w:val="3"/>
    <w:lvlOverride w:ilvl="0">
      <w:startOverride w:val="1"/>
    </w:lvlOverride>
  </w:num>
  <w:num w:numId="34" w16cid:durableId="1003631719">
    <w:abstractNumId w:val="3"/>
    <w:lvlOverride w:ilvl="0">
      <w:startOverride w:val="1"/>
    </w:lvlOverride>
  </w:num>
  <w:num w:numId="35" w16cid:durableId="981619220">
    <w:abstractNumId w:val="3"/>
    <w:lvlOverride w:ilvl="0">
      <w:startOverride w:val="1"/>
    </w:lvlOverride>
  </w:num>
  <w:num w:numId="36" w16cid:durableId="924068122">
    <w:abstractNumId w:val="21"/>
  </w:num>
  <w:num w:numId="37" w16cid:durableId="477459210">
    <w:abstractNumId w:val="3"/>
  </w:num>
  <w:num w:numId="38" w16cid:durableId="1456214955">
    <w:abstractNumId w:val="3"/>
  </w:num>
  <w:num w:numId="39" w16cid:durableId="1591311797">
    <w:abstractNumId w:val="10"/>
  </w:num>
  <w:num w:numId="40" w16cid:durableId="1538620313">
    <w:abstractNumId w:val="1"/>
  </w:num>
  <w:num w:numId="41" w16cid:durableId="1100874049">
    <w:abstractNumId w:val="3"/>
  </w:num>
  <w:num w:numId="42" w16cid:durableId="3366879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8E2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88F"/>
    <w:rsid w:val="00007CCC"/>
    <w:rsid w:val="00007D63"/>
    <w:rsid w:val="00007F2F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6061"/>
    <w:rsid w:val="000161DC"/>
    <w:rsid w:val="000164DE"/>
    <w:rsid w:val="00016562"/>
    <w:rsid w:val="0001706F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A5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89E"/>
    <w:rsid w:val="00056993"/>
    <w:rsid w:val="00056A54"/>
    <w:rsid w:val="00056E5F"/>
    <w:rsid w:val="0005776A"/>
    <w:rsid w:val="00057866"/>
    <w:rsid w:val="00057886"/>
    <w:rsid w:val="000600BF"/>
    <w:rsid w:val="00060E99"/>
    <w:rsid w:val="0006126E"/>
    <w:rsid w:val="000615E1"/>
    <w:rsid w:val="00061792"/>
    <w:rsid w:val="00062BE7"/>
    <w:rsid w:val="000637E7"/>
    <w:rsid w:val="00064019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4476"/>
    <w:rsid w:val="0008463C"/>
    <w:rsid w:val="0008495A"/>
    <w:rsid w:val="0008549F"/>
    <w:rsid w:val="000859BE"/>
    <w:rsid w:val="00086C50"/>
    <w:rsid w:val="000875B9"/>
    <w:rsid w:val="0008781A"/>
    <w:rsid w:val="00087875"/>
    <w:rsid w:val="00087F6A"/>
    <w:rsid w:val="00090470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3F4F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CE5"/>
    <w:rsid w:val="000C41C8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341"/>
    <w:rsid w:val="001360BA"/>
    <w:rsid w:val="00136169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CB"/>
    <w:rsid w:val="001423A1"/>
    <w:rsid w:val="001425A9"/>
    <w:rsid w:val="00143558"/>
    <w:rsid w:val="00143B01"/>
    <w:rsid w:val="00144EEE"/>
    <w:rsid w:val="00144F76"/>
    <w:rsid w:val="00145274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703AC"/>
    <w:rsid w:val="001711BE"/>
    <w:rsid w:val="0017123C"/>
    <w:rsid w:val="00171EB4"/>
    <w:rsid w:val="00172AF7"/>
    <w:rsid w:val="001735EF"/>
    <w:rsid w:val="0017375E"/>
    <w:rsid w:val="001756A1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26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4C4"/>
    <w:rsid w:val="00186592"/>
    <w:rsid w:val="0018671F"/>
    <w:rsid w:val="00186726"/>
    <w:rsid w:val="001870F0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754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73B"/>
    <w:rsid w:val="001C1ADF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2F5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3BD"/>
    <w:rsid w:val="002475CB"/>
    <w:rsid w:val="00247708"/>
    <w:rsid w:val="002506CD"/>
    <w:rsid w:val="00250BE0"/>
    <w:rsid w:val="00250EF2"/>
    <w:rsid w:val="00250FCA"/>
    <w:rsid w:val="00251574"/>
    <w:rsid w:val="00251E9D"/>
    <w:rsid w:val="002528D4"/>
    <w:rsid w:val="00254CA1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4BE2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61B8"/>
    <w:rsid w:val="002864CC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584C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A13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1975"/>
    <w:rsid w:val="002F1D63"/>
    <w:rsid w:val="002F2998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3B26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456"/>
    <w:rsid w:val="003255E3"/>
    <w:rsid w:val="00325D2B"/>
    <w:rsid w:val="003266C4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93C"/>
    <w:rsid w:val="00360E06"/>
    <w:rsid w:val="0036100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029A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5BB1"/>
    <w:rsid w:val="00387157"/>
    <w:rsid w:val="00387160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75C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276"/>
    <w:rsid w:val="003D238B"/>
    <w:rsid w:val="003D2554"/>
    <w:rsid w:val="003D2823"/>
    <w:rsid w:val="003D2BB3"/>
    <w:rsid w:val="003D365C"/>
    <w:rsid w:val="003D388D"/>
    <w:rsid w:val="003D3F50"/>
    <w:rsid w:val="003D3F7B"/>
    <w:rsid w:val="003D4109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6E3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B9A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6F32"/>
    <w:rsid w:val="004073DB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6D1"/>
    <w:rsid w:val="00420A9D"/>
    <w:rsid w:val="00420AC0"/>
    <w:rsid w:val="00420E29"/>
    <w:rsid w:val="00420F59"/>
    <w:rsid w:val="00421546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972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2AB1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A66"/>
    <w:rsid w:val="00457E50"/>
    <w:rsid w:val="0046045D"/>
    <w:rsid w:val="004604F2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1FCB"/>
    <w:rsid w:val="004825E0"/>
    <w:rsid w:val="00482BC1"/>
    <w:rsid w:val="004830EA"/>
    <w:rsid w:val="00483409"/>
    <w:rsid w:val="00483C37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C00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61E2"/>
    <w:rsid w:val="00517344"/>
    <w:rsid w:val="005173A1"/>
    <w:rsid w:val="0051741C"/>
    <w:rsid w:val="005174C3"/>
    <w:rsid w:val="00517FAB"/>
    <w:rsid w:val="00520226"/>
    <w:rsid w:val="00520268"/>
    <w:rsid w:val="00520847"/>
    <w:rsid w:val="00520EC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87E"/>
    <w:rsid w:val="005345AD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46BC1"/>
    <w:rsid w:val="00550278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305"/>
    <w:rsid w:val="0056342A"/>
    <w:rsid w:val="00563BCE"/>
    <w:rsid w:val="00563BFD"/>
    <w:rsid w:val="00563D9D"/>
    <w:rsid w:val="00563F54"/>
    <w:rsid w:val="00564B1A"/>
    <w:rsid w:val="00564DDF"/>
    <w:rsid w:val="00565194"/>
    <w:rsid w:val="00565A2E"/>
    <w:rsid w:val="00565B4E"/>
    <w:rsid w:val="00565BB9"/>
    <w:rsid w:val="00565CBF"/>
    <w:rsid w:val="00566CB1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778B8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E59"/>
    <w:rsid w:val="00590871"/>
    <w:rsid w:val="00590FEC"/>
    <w:rsid w:val="00591616"/>
    <w:rsid w:val="00591724"/>
    <w:rsid w:val="00592337"/>
    <w:rsid w:val="0059238A"/>
    <w:rsid w:val="005926BC"/>
    <w:rsid w:val="00592B3E"/>
    <w:rsid w:val="00593036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C26"/>
    <w:rsid w:val="005A5E08"/>
    <w:rsid w:val="005A5E2F"/>
    <w:rsid w:val="005A620D"/>
    <w:rsid w:val="005A65F5"/>
    <w:rsid w:val="005A7B44"/>
    <w:rsid w:val="005A7B76"/>
    <w:rsid w:val="005A7CEE"/>
    <w:rsid w:val="005B05B1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3049E"/>
    <w:rsid w:val="0063057E"/>
    <w:rsid w:val="00630E68"/>
    <w:rsid w:val="006312CF"/>
    <w:rsid w:val="00631882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735"/>
    <w:rsid w:val="00636A43"/>
    <w:rsid w:val="0063715E"/>
    <w:rsid w:val="00637390"/>
    <w:rsid w:val="0063788D"/>
    <w:rsid w:val="00640371"/>
    <w:rsid w:val="00640A75"/>
    <w:rsid w:val="00640E79"/>
    <w:rsid w:val="00641087"/>
    <w:rsid w:val="006416B4"/>
    <w:rsid w:val="00641AFD"/>
    <w:rsid w:val="0064228D"/>
    <w:rsid w:val="00642E0D"/>
    <w:rsid w:val="00643076"/>
    <w:rsid w:val="0064319E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CBB"/>
    <w:rsid w:val="00646E3D"/>
    <w:rsid w:val="0064720F"/>
    <w:rsid w:val="006477B3"/>
    <w:rsid w:val="00647886"/>
    <w:rsid w:val="00647ADE"/>
    <w:rsid w:val="006506B7"/>
    <w:rsid w:val="006514CF"/>
    <w:rsid w:val="00651812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56F"/>
    <w:rsid w:val="0068293D"/>
    <w:rsid w:val="00682E45"/>
    <w:rsid w:val="0068325B"/>
    <w:rsid w:val="006839C6"/>
    <w:rsid w:val="00683A8E"/>
    <w:rsid w:val="00684131"/>
    <w:rsid w:val="00684D1A"/>
    <w:rsid w:val="0068557C"/>
    <w:rsid w:val="00685812"/>
    <w:rsid w:val="00685A10"/>
    <w:rsid w:val="006867FB"/>
    <w:rsid w:val="006869AD"/>
    <w:rsid w:val="006875C3"/>
    <w:rsid w:val="006878B6"/>
    <w:rsid w:val="0069024A"/>
    <w:rsid w:val="00690692"/>
    <w:rsid w:val="0069163F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22D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1E37"/>
    <w:rsid w:val="006B2068"/>
    <w:rsid w:val="006B222A"/>
    <w:rsid w:val="006B24F3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EB"/>
    <w:rsid w:val="006C7CEB"/>
    <w:rsid w:val="006D22D0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72A"/>
    <w:rsid w:val="007178C6"/>
    <w:rsid w:val="00717966"/>
    <w:rsid w:val="00717DEB"/>
    <w:rsid w:val="0072025B"/>
    <w:rsid w:val="00720480"/>
    <w:rsid w:val="00720CDD"/>
    <w:rsid w:val="007214C9"/>
    <w:rsid w:val="00721A9B"/>
    <w:rsid w:val="0072246E"/>
    <w:rsid w:val="00722FB8"/>
    <w:rsid w:val="007237CD"/>
    <w:rsid w:val="007239E0"/>
    <w:rsid w:val="00723DE2"/>
    <w:rsid w:val="0072476C"/>
    <w:rsid w:val="00724A34"/>
    <w:rsid w:val="00724C3D"/>
    <w:rsid w:val="00724E4C"/>
    <w:rsid w:val="0072502C"/>
    <w:rsid w:val="00725353"/>
    <w:rsid w:val="00725E67"/>
    <w:rsid w:val="00725FE1"/>
    <w:rsid w:val="00726CB2"/>
    <w:rsid w:val="00726D10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A2D"/>
    <w:rsid w:val="00750398"/>
    <w:rsid w:val="00750C79"/>
    <w:rsid w:val="00752347"/>
    <w:rsid w:val="007527E5"/>
    <w:rsid w:val="007530BA"/>
    <w:rsid w:val="00753481"/>
    <w:rsid w:val="0075367B"/>
    <w:rsid w:val="0075375A"/>
    <w:rsid w:val="007539EC"/>
    <w:rsid w:val="00754DF4"/>
    <w:rsid w:val="00754F98"/>
    <w:rsid w:val="00755E01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49B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BC6"/>
    <w:rsid w:val="007C4D5C"/>
    <w:rsid w:val="007C5556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40A"/>
    <w:rsid w:val="007D0650"/>
    <w:rsid w:val="007D0DCC"/>
    <w:rsid w:val="007D1428"/>
    <w:rsid w:val="007D1580"/>
    <w:rsid w:val="007D1D03"/>
    <w:rsid w:val="007D1D76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7DA"/>
    <w:rsid w:val="007E4838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4977"/>
    <w:rsid w:val="008054BC"/>
    <w:rsid w:val="008056E3"/>
    <w:rsid w:val="0080573F"/>
    <w:rsid w:val="00805D1C"/>
    <w:rsid w:val="00805E17"/>
    <w:rsid w:val="00805E85"/>
    <w:rsid w:val="00806787"/>
    <w:rsid w:val="00807AB7"/>
    <w:rsid w:val="0081003B"/>
    <w:rsid w:val="00810369"/>
    <w:rsid w:val="00810614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A64"/>
    <w:rsid w:val="00830BED"/>
    <w:rsid w:val="00830C5F"/>
    <w:rsid w:val="00831EDA"/>
    <w:rsid w:val="00832570"/>
    <w:rsid w:val="00832F93"/>
    <w:rsid w:val="00833031"/>
    <w:rsid w:val="008336B5"/>
    <w:rsid w:val="008337EA"/>
    <w:rsid w:val="00833A0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9B2"/>
    <w:rsid w:val="00844CD6"/>
    <w:rsid w:val="00844EC5"/>
    <w:rsid w:val="00845172"/>
    <w:rsid w:val="00845219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0F6E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178E"/>
    <w:rsid w:val="00892B4E"/>
    <w:rsid w:val="00893EA4"/>
    <w:rsid w:val="0089479C"/>
    <w:rsid w:val="008949A0"/>
    <w:rsid w:val="00894B4F"/>
    <w:rsid w:val="008956F5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304F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C7C36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2701"/>
    <w:rsid w:val="008E280E"/>
    <w:rsid w:val="008E3050"/>
    <w:rsid w:val="008E381D"/>
    <w:rsid w:val="008E497C"/>
    <w:rsid w:val="008E4ECA"/>
    <w:rsid w:val="008E4EEA"/>
    <w:rsid w:val="008E54E2"/>
    <w:rsid w:val="008E55D2"/>
    <w:rsid w:val="008E594B"/>
    <w:rsid w:val="008E5E12"/>
    <w:rsid w:val="008E5F23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3075"/>
    <w:rsid w:val="008F40C0"/>
    <w:rsid w:val="008F463A"/>
    <w:rsid w:val="008F4E20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AE1"/>
    <w:rsid w:val="00902FB4"/>
    <w:rsid w:val="009037F6"/>
    <w:rsid w:val="00903D1D"/>
    <w:rsid w:val="00903D79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65D"/>
    <w:rsid w:val="00911A90"/>
    <w:rsid w:val="00911DE0"/>
    <w:rsid w:val="0091213D"/>
    <w:rsid w:val="0091238A"/>
    <w:rsid w:val="0091270D"/>
    <w:rsid w:val="00912C19"/>
    <w:rsid w:val="00913000"/>
    <w:rsid w:val="00913654"/>
    <w:rsid w:val="00913B4F"/>
    <w:rsid w:val="009143E9"/>
    <w:rsid w:val="0091481C"/>
    <w:rsid w:val="0091482A"/>
    <w:rsid w:val="009148A2"/>
    <w:rsid w:val="00914F8E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3EA"/>
    <w:rsid w:val="009466A9"/>
    <w:rsid w:val="0094672C"/>
    <w:rsid w:val="0094750D"/>
    <w:rsid w:val="009478CB"/>
    <w:rsid w:val="009479DE"/>
    <w:rsid w:val="00950735"/>
    <w:rsid w:val="00950A93"/>
    <w:rsid w:val="00950AF4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32B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A7D55"/>
    <w:rsid w:val="009B0C3A"/>
    <w:rsid w:val="009B0D1D"/>
    <w:rsid w:val="009B10FC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755"/>
    <w:rsid w:val="009B5888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C80"/>
    <w:rsid w:val="009B7E09"/>
    <w:rsid w:val="009B7F9B"/>
    <w:rsid w:val="009B7FF7"/>
    <w:rsid w:val="009C029E"/>
    <w:rsid w:val="009C09D3"/>
    <w:rsid w:val="009C1073"/>
    <w:rsid w:val="009C1212"/>
    <w:rsid w:val="009C15CD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1C"/>
    <w:rsid w:val="00A01EF6"/>
    <w:rsid w:val="00A01EF9"/>
    <w:rsid w:val="00A02041"/>
    <w:rsid w:val="00A02726"/>
    <w:rsid w:val="00A02CA9"/>
    <w:rsid w:val="00A02E0C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49EC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2B4E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9F4"/>
    <w:rsid w:val="00A60038"/>
    <w:rsid w:val="00A605AD"/>
    <w:rsid w:val="00A6089D"/>
    <w:rsid w:val="00A60AC4"/>
    <w:rsid w:val="00A62618"/>
    <w:rsid w:val="00A62A53"/>
    <w:rsid w:val="00A62A65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0D1F"/>
    <w:rsid w:val="00A91786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4E0E"/>
    <w:rsid w:val="00A955F9"/>
    <w:rsid w:val="00A967AE"/>
    <w:rsid w:val="00A9758C"/>
    <w:rsid w:val="00A97DDA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A7B55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70C"/>
    <w:rsid w:val="00AC49FA"/>
    <w:rsid w:val="00AC4C95"/>
    <w:rsid w:val="00AC4D0D"/>
    <w:rsid w:val="00AC56FD"/>
    <w:rsid w:val="00AC570F"/>
    <w:rsid w:val="00AC5DDE"/>
    <w:rsid w:val="00AC6320"/>
    <w:rsid w:val="00AC754D"/>
    <w:rsid w:val="00AC7CDD"/>
    <w:rsid w:val="00AC7DAA"/>
    <w:rsid w:val="00AD0E16"/>
    <w:rsid w:val="00AD17DF"/>
    <w:rsid w:val="00AD1A7C"/>
    <w:rsid w:val="00AD1D98"/>
    <w:rsid w:val="00AD3580"/>
    <w:rsid w:val="00AD39A5"/>
    <w:rsid w:val="00AD39C9"/>
    <w:rsid w:val="00AD3AC6"/>
    <w:rsid w:val="00AD3DCD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678A"/>
    <w:rsid w:val="00B076F8"/>
    <w:rsid w:val="00B07ED4"/>
    <w:rsid w:val="00B07F6E"/>
    <w:rsid w:val="00B10410"/>
    <w:rsid w:val="00B11064"/>
    <w:rsid w:val="00B1218D"/>
    <w:rsid w:val="00B1223A"/>
    <w:rsid w:val="00B12555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599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1DE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AC7"/>
    <w:rsid w:val="00B61DD0"/>
    <w:rsid w:val="00B620ED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01B"/>
    <w:rsid w:val="00B71F75"/>
    <w:rsid w:val="00B729A9"/>
    <w:rsid w:val="00B738E4"/>
    <w:rsid w:val="00B73B29"/>
    <w:rsid w:val="00B74472"/>
    <w:rsid w:val="00B74BC8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EE"/>
    <w:rsid w:val="00BC310B"/>
    <w:rsid w:val="00BC31C7"/>
    <w:rsid w:val="00BC31CE"/>
    <w:rsid w:val="00BC3B6D"/>
    <w:rsid w:val="00BC3D0B"/>
    <w:rsid w:val="00BC43E2"/>
    <w:rsid w:val="00BC4B1F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1697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31A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71C5"/>
    <w:rsid w:val="00C0769B"/>
    <w:rsid w:val="00C07C5D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E6D"/>
    <w:rsid w:val="00C15170"/>
    <w:rsid w:val="00C154DC"/>
    <w:rsid w:val="00C15A38"/>
    <w:rsid w:val="00C15AD8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42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76A"/>
    <w:rsid w:val="00C42DEF"/>
    <w:rsid w:val="00C43352"/>
    <w:rsid w:val="00C4368B"/>
    <w:rsid w:val="00C439DF"/>
    <w:rsid w:val="00C44505"/>
    <w:rsid w:val="00C45117"/>
    <w:rsid w:val="00C4515E"/>
    <w:rsid w:val="00C45851"/>
    <w:rsid w:val="00C45DD3"/>
    <w:rsid w:val="00C4659B"/>
    <w:rsid w:val="00C46BE0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AB5"/>
    <w:rsid w:val="00C56B52"/>
    <w:rsid w:val="00C56B8F"/>
    <w:rsid w:val="00C576A3"/>
    <w:rsid w:val="00C5784B"/>
    <w:rsid w:val="00C605C8"/>
    <w:rsid w:val="00C606B8"/>
    <w:rsid w:val="00C611D3"/>
    <w:rsid w:val="00C616F1"/>
    <w:rsid w:val="00C6174D"/>
    <w:rsid w:val="00C61973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2563"/>
    <w:rsid w:val="00C72C1D"/>
    <w:rsid w:val="00C72EDA"/>
    <w:rsid w:val="00C746CF"/>
    <w:rsid w:val="00C74E84"/>
    <w:rsid w:val="00C74F52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DDB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B5"/>
    <w:rsid w:val="00CA0A13"/>
    <w:rsid w:val="00CA0A39"/>
    <w:rsid w:val="00CA0C55"/>
    <w:rsid w:val="00CA0E08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08D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AD5"/>
    <w:rsid w:val="00CC7FED"/>
    <w:rsid w:val="00CD0269"/>
    <w:rsid w:val="00CD04E7"/>
    <w:rsid w:val="00CD065B"/>
    <w:rsid w:val="00CD1267"/>
    <w:rsid w:val="00CD21AF"/>
    <w:rsid w:val="00CD23B0"/>
    <w:rsid w:val="00CD31B7"/>
    <w:rsid w:val="00CD32C3"/>
    <w:rsid w:val="00CD3E86"/>
    <w:rsid w:val="00CD4681"/>
    <w:rsid w:val="00CD4753"/>
    <w:rsid w:val="00CD4840"/>
    <w:rsid w:val="00CD4D3B"/>
    <w:rsid w:val="00CD5D8A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49C"/>
    <w:rsid w:val="00D02A96"/>
    <w:rsid w:val="00D0408F"/>
    <w:rsid w:val="00D0460A"/>
    <w:rsid w:val="00D04CFE"/>
    <w:rsid w:val="00D05346"/>
    <w:rsid w:val="00D05907"/>
    <w:rsid w:val="00D06872"/>
    <w:rsid w:val="00D06E79"/>
    <w:rsid w:val="00D07085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152"/>
    <w:rsid w:val="00D20308"/>
    <w:rsid w:val="00D20E35"/>
    <w:rsid w:val="00D20E39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A35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C83"/>
    <w:rsid w:val="00D40DF5"/>
    <w:rsid w:val="00D40F1B"/>
    <w:rsid w:val="00D41208"/>
    <w:rsid w:val="00D41314"/>
    <w:rsid w:val="00D419AA"/>
    <w:rsid w:val="00D419FA"/>
    <w:rsid w:val="00D41D90"/>
    <w:rsid w:val="00D42A4E"/>
    <w:rsid w:val="00D43E7B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1BE1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1A"/>
    <w:rsid w:val="00D61FC2"/>
    <w:rsid w:val="00D627BE"/>
    <w:rsid w:val="00D62C5F"/>
    <w:rsid w:val="00D62E08"/>
    <w:rsid w:val="00D6407D"/>
    <w:rsid w:val="00D64632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3C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8ED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25D"/>
    <w:rsid w:val="00DA28CD"/>
    <w:rsid w:val="00DA297E"/>
    <w:rsid w:val="00DA2B5B"/>
    <w:rsid w:val="00DA2C29"/>
    <w:rsid w:val="00DA2CF7"/>
    <w:rsid w:val="00DA32D9"/>
    <w:rsid w:val="00DA3454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B0"/>
    <w:rsid w:val="00DC7ACB"/>
    <w:rsid w:val="00DD0D96"/>
    <w:rsid w:val="00DD0DF9"/>
    <w:rsid w:val="00DD1131"/>
    <w:rsid w:val="00DD129D"/>
    <w:rsid w:val="00DD14FF"/>
    <w:rsid w:val="00DD18FB"/>
    <w:rsid w:val="00DD1DB1"/>
    <w:rsid w:val="00DD2907"/>
    <w:rsid w:val="00DD290E"/>
    <w:rsid w:val="00DD333D"/>
    <w:rsid w:val="00DD3CF1"/>
    <w:rsid w:val="00DD3E05"/>
    <w:rsid w:val="00DD466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D7D67"/>
    <w:rsid w:val="00DE04EF"/>
    <w:rsid w:val="00DE05F2"/>
    <w:rsid w:val="00DE0662"/>
    <w:rsid w:val="00DE0D5A"/>
    <w:rsid w:val="00DE17E0"/>
    <w:rsid w:val="00DE1868"/>
    <w:rsid w:val="00DE20AD"/>
    <w:rsid w:val="00DE2388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57E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919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33F8"/>
    <w:rsid w:val="00E23D72"/>
    <w:rsid w:val="00E2468C"/>
    <w:rsid w:val="00E2564A"/>
    <w:rsid w:val="00E25BAF"/>
    <w:rsid w:val="00E25D48"/>
    <w:rsid w:val="00E26025"/>
    <w:rsid w:val="00E26CEC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8E6"/>
    <w:rsid w:val="00E36BD5"/>
    <w:rsid w:val="00E3761F"/>
    <w:rsid w:val="00E37673"/>
    <w:rsid w:val="00E378A9"/>
    <w:rsid w:val="00E3795F"/>
    <w:rsid w:val="00E37A1F"/>
    <w:rsid w:val="00E37B43"/>
    <w:rsid w:val="00E4071E"/>
    <w:rsid w:val="00E40CCC"/>
    <w:rsid w:val="00E418A5"/>
    <w:rsid w:val="00E418F1"/>
    <w:rsid w:val="00E4255D"/>
    <w:rsid w:val="00E42DB2"/>
    <w:rsid w:val="00E42E95"/>
    <w:rsid w:val="00E4310B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F3F"/>
    <w:rsid w:val="00E65304"/>
    <w:rsid w:val="00E65721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465"/>
    <w:rsid w:val="00E91ABA"/>
    <w:rsid w:val="00E91C8F"/>
    <w:rsid w:val="00E9227C"/>
    <w:rsid w:val="00E9254E"/>
    <w:rsid w:val="00E9267E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1FD5"/>
    <w:rsid w:val="00EB206C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153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3B0"/>
    <w:rsid w:val="00EE6AB7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4D81"/>
    <w:rsid w:val="00EF5994"/>
    <w:rsid w:val="00EF59EC"/>
    <w:rsid w:val="00EF5A5A"/>
    <w:rsid w:val="00EF6435"/>
    <w:rsid w:val="00EF6497"/>
    <w:rsid w:val="00EF6A00"/>
    <w:rsid w:val="00EF7287"/>
    <w:rsid w:val="00EF7416"/>
    <w:rsid w:val="00EF7F70"/>
    <w:rsid w:val="00F00339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4ACF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0F1"/>
    <w:rsid w:val="00F21107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C61"/>
    <w:rsid w:val="00F52405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D9B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66A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46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eszk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ekaovod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7C4F-4B45-4676-B5AD-B9B30ED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7167</TotalTime>
  <Pages>13</Pages>
  <Words>3364</Words>
  <Characters>23217</Characters>
  <Application>Microsoft Office Word</Application>
  <DocSecurity>0</DocSecurity>
  <Lines>193</Lines>
  <Paragraphs>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26528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212</cp:revision>
  <cp:lastPrinted>2023-04-21T09:20:00Z</cp:lastPrinted>
  <dcterms:created xsi:type="dcterms:W3CDTF">2022-09-13T12:59:00Z</dcterms:created>
  <dcterms:modified xsi:type="dcterms:W3CDTF">2023-04-21T10:26:00Z</dcterms:modified>
</cp:coreProperties>
</file>