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0B127A9F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685EFA">
        <w:rPr>
          <w:rFonts w:ascii="Times New Roman" w:hAnsi="Times New Roman" w:cs="Times New Roman"/>
          <w:color w:val="000000"/>
          <w:sz w:val="24"/>
          <w:szCs w:val="24"/>
        </w:rPr>
        <w:t>november 30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>-á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57D89E44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E2701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27018" w:rsidRPr="00E27018">
        <w:rPr>
          <w:rFonts w:ascii="Times New Roman" w:hAnsi="Times New Roman" w:cs="Times New Roman"/>
          <w:sz w:val="24"/>
          <w:szCs w:val="24"/>
        </w:rPr>
        <w:t>14236-2</w:t>
      </w:r>
      <w:r w:rsidR="00756BAB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>022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605B2203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5EFA">
        <w:rPr>
          <w:rFonts w:ascii="Times New Roman" w:hAnsi="Times New Roman" w:cs="Times New Roman"/>
          <w:color w:val="000000"/>
          <w:sz w:val="24"/>
          <w:szCs w:val="24"/>
        </w:rPr>
        <w:t>Bodnár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46EB9989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 xml:space="preserve">SZMSZ 4. sz. melléklet </w:t>
            </w:r>
            <w:r w:rsidR="00764165" w:rsidRPr="00764165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>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FD048" w14:textId="59BF4F46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 xml:space="preserve">22. </w:t>
      </w:r>
      <w:r w:rsidR="00685EFA">
        <w:rPr>
          <w:rFonts w:ascii="Times New Roman" w:hAnsi="Times New Roman" w:cs="Times New Roman"/>
          <w:color w:val="000000"/>
          <w:sz w:val="24"/>
          <w:szCs w:val="24"/>
        </w:rPr>
        <w:t>november 24.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66FF6E38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685EFA">
        <w:rPr>
          <w:rFonts w:ascii="Times New Roman" w:hAnsi="Times New Roman" w:cs="Times New Roman"/>
          <w:b/>
          <w:color w:val="000000"/>
          <w:sz w:val="24"/>
          <w:szCs w:val="24"/>
        </w:rPr>
        <w:t>Bodnár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14:paraId="198FCCA1" w14:textId="77777777" w:rsidR="00B302E2" w:rsidRP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AA05D8" w14:textId="77777777" w:rsidR="00B302E2" w:rsidRP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1.)A</w:t>
      </w:r>
      <w:proofErr w:type="gramEnd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143/2022.(V.30.) </w:t>
      </w:r>
      <w:proofErr w:type="spellStart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Kt.számú</w:t>
      </w:r>
      <w:proofErr w:type="spellEnd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határozatban</w:t>
      </w: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a 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Korlátolt Felelősségű Társaság (továbbiakban: Kft.) 2021. évi egyszerűsített éves beszámolóját 231.273 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eszköz és azzal egyező forrás végösszeggel, illetve 6.479 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adózott eredménnyel, a melléklet szerinti tartalommal elfogadta. Megkértem a Kft.  ügyvezetőjét, hogy a beszámoló, a közhasznúsági jelentés, valamint a könyvvizsgálói jelentés közzétételéről gondoskodjon a törvényben előírt módon, aki ennek eleget tett. A Képviselő-testület hozzájárult az adózott eredmény eredménytartalékba történő helyezéséhez. A határozatról a Kft. ügyvezetőjét tájékoztattam.</w:t>
      </w:r>
    </w:p>
    <w:p w14:paraId="61AF02A3" w14:textId="572778DB" w:rsid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544426" w14:textId="77777777" w:rsidR="00241E6C" w:rsidRPr="00B302E2" w:rsidRDefault="00241E6C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0518E2" w14:textId="77777777" w:rsidR="00B302E2" w:rsidRP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2.)A</w:t>
      </w:r>
      <w:proofErr w:type="gramEnd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144/2022.(V.30.) Kt. számú határozatban</w:t>
      </w: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 testülete-döntött </w:t>
      </w:r>
      <w:r w:rsidRPr="00B302E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</w:t>
      </w:r>
      <w:proofErr w:type="spellStart"/>
      <w:r w:rsidRPr="00B302E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Tiva-Szolg</w:t>
      </w:r>
      <w:proofErr w:type="spellEnd"/>
      <w:r w:rsidRPr="00B302E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Nonprofit Korlátolt Felelősségű Társaság (továbbiakban: Kft.) 2022. évi Üzleti tervével kapcsolatban. A Képviselő-testület a határozat mellékletében foglaltak szerint a </w:t>
      </w:r>
      <w:proofErr w:type="gramStart"/>
      <w:r w:rsidRPr="00B302E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Kft.</w:t>
      </w:r>
      <w:proofErr w:type="gramEnd"/>
      <w:r w:rsidRPr="00B302E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Üzleti tervét jóváhagyta. A határozatról a Kft. ügyvezetőját tájékoztattam.</w:t>
      </w:r>
    </w:p>
    <w:p w14:paraId="68985EA1" w14:textId="5E651AD7" w:rsid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C3A1EA" w14:textId="77777777" w:rsidR="00241E6C" w:rsidRPr="00B302E2" w:rsidRDefault="00241E6C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8734019" w14:textId="77777777" w:rsidR="00B302E2" w:rsidRP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3.)A</w:t>
      </w:r>
      <w:proofErr w:type="gramEnd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162/2022.(V.30.) Kt. számú határozatban </w:t>
      </w: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a Hajdúkerületi és Bihari Víziközmű Szolgáltató Zrt. (továbbiakban: Zrt.) 2021. évi éves beszámolóját 899.462 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eszköz és azzal egyező forrás végösszeggel                -5.429 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adózott eredménnyel a melléklet szerinti tartalommal elfogadta. Jelen határozatról a Zrt. vezérigazgatóját tájékoztattam. A Zrt. 2022. május 31. napján megtartott közgyűlésén Tiszavasvári Város Önkormányzatát jelen határozatban foglaltaknak megfelelően képviseltem.</w:t>
      </w:r>
    </w:p>
    <w:p w14:paraId="386ED15B" w14:textId="1B1C7D15" w:rsid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F74028" w14:textId="77777777" w:rsidR="00241E6C" w:rsidRPr="00B302E2" w:rsidRDefault="00241E6C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625479" w14:textId="77777777" w:rsidR="00B302E2" w:rsidRP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4.)A</w:t>
      </w:r>
      <w:proofErr w:type="gramEnd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203/2022.(VII.28.) Kt. számú határozatban</w:t>
      </w: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az önkormányzatok rendkívüli támogatására vonatkozó igény második alkalommal történő benyújtásával kapcsolatosan. A Magyar Államkincstár 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tájékoztatotta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Önkormányzatunkat arról, hogy mivel az Önkormányzat által első alkalommal benyújtott rendkívüli támogatási igény még nem került elbírálásra az illetékes Minisztériumok által, ezért addig nem tud Önkormányzatunk második alkalommal pályázatot benyújtani. A pályázat 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benyújátásának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végső határideje 2022. szeptember 30.-a volt. </w:t>
      </w:r>
    </w:p>
    <w:p w14:paraId="6D4F5336" w14:textId="77777777" w:rsidR="00B302E2" w:rsidRP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2022. szeptember 30. napját követően sem került elbírálásra Önkormányzatunk „első körös” támogatási igénye, ezért kérelemmel fordultam a Belügyminisztériumhoz, illetve a Pénzügyminisztériumhoz, hogy a rendkívüli nehéz pénzügyi helyzetünkre tekintettel egy újabb, egyedi pályázatot nyújthassunk be rendkívüli támogatás elnyerése érdekében. Kérelmemre ezt követően a Magyar Államkincstár pályázati rendszerét felnyitották, így a pályázatot 2022. október 21. napján Önkormányzatunk benyújtotta a Magyar Államkincstár, illetve az illetékes Minisztériumok felé. Döntés még nem született a pályázattal kapcsolatban.</w:t>
      </w:r>
    </w:p>
    <w:p w14:paraId="173833BC" w14:textId="77777777" w:rsidR="00B302E2" w:rsidRP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5A91CF" w14:textId="77777777" w:rsidR="00B302E2" w:rsidRP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989195" w14:textId="77777777" w:rsidR="00B302E2" w:rsidRPr="00B302E2" w:rsidRDefault="00B302E2" w:rsidP="00B302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15E3BC" w14:textId="77777777" w:rsidR="00B302E2" w:rsidRPr="00B302E2" w:rsidRDefault="00B302E2" w:rsidP="00B302E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5.)A 204/2022.(VII.28.) Kt. számú határozatban</w:t>
      </w: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 „2022 évi önkormányzati feladatellátást szolgáló fejlesztések támogatása” elnevezésű pályázathoz biztosítandó önerőhöz szükséges hitel felvételéről és a pályázati eljárás megindításáról A Képviselő-testület 13.674.426,-Ft összegű, éven túli lejáratú felhalmozási célú hitel felvételéről döntött, melyről szóló pályázati kiírás 2022. augusztus 2.-án kiküldésre került három pénzintézet részére, a Takarékbank Zrt. nyíregyházi fiókjához, a tiszavasvári K&amp;H Bank Zrt.-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hez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, illetve a nyíregyházi OTP Bank Nyrt.-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hez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. A pályázati eljárás eredményéről egy másik lejárt határozatban fogok beszámolni a Képviselő- testület részére. Jelzett határozatról a pénzintézeteket tájékoztattam, a pályázati felhívások kiküldésre kerültek. A pályázati felhívásunkra kettő darab hitelajánlat érkezett, a Takarékbank Zrt.-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től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, illetve az OTP Bank Nyrt.-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től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. A hitelpályázatokat a Bíráló Bizottság elbírálta. A hitelpályázatot lezáró döntésről egy másik határozatban fogok beszámolni.</w:t>
      </w:r>
    </w:p>
    <w:p w14:paraId="5ACE7EA2" w14:textId="77777777" w:rsidR="00B302E2" w:rsidRPr="00B302E2" w:rsidRDefault="00B302E2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DCF6CD" w14:textId="77777777" w:rsidR="00B302E2" w:rsidRPr="00B302E2" w:rsidRDefault="00B302E2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F4EA2B" w14:textId="77777777" w:rsidR="00B302E2" w:rsidRPr="00B302E2" w:rsidRDefault="00B302E2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6.)A</w:t>
      </w:r>
      <w:proofErr w:type="gramEnd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245/2022.(IX.29.) Kt. számú határozatban</w:t>
      </w: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 „2022. évi önkormányzati feladatellátást szolgáló fejlesztések támogatása” elnevezésű pályázat 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önerejéhez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szükséges, a 204/2022.(VII.28.) Kt. számú határozatával elindított, </w:t>
      </w:r>
      <w:r w:rsidRPr="00B302E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13.674.426 Ft</w:t>
      </w: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összegű hitel felvételéről, a határozat mellékletét képező kölcsönszerződésben foglaltak szerint.</w:t>
      </w:r>
    </w:p>
    <w:p w14:paraId="77C84956" w14:textId="77777777" w:rsidR="00B302E2" w:rsidRPr="00B302E2" w:rsidRDefault="00B302E2" w:rsidP="00B30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A hitelt Tiszavasvári Város Önkormányzata a tiszavasvári Krúdy Gyula utca felújítására kívánja fordítani. A hitelpályázat nyertese az OTP Bank Nyrt. lett.</w:t>
      </w:r>
    </w:p>
    <w:p w14:paraId="59B260A7" w14:textId="77777777" w:rsidR="00B302E2" w:rsidRPr="00B302E2" w:rsidRDefault="00B302E2" w:rsidP="00B30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Magyarország gazdasági stabilitásáról szóló 2011. évi CXCIV. törvényben foglaltak szerint a hitel felvételéhez szükséges a Kormány előzetes engedélyének a megszerzése. A Kormány engedélye iránti kérelem 2022. november 7. </w:t>
      </w:r>
      <w:proofErr w:type="gram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napján  benyújtásra</w:t>
      </w:r>
      <w:proofErr w:type="gram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került. A határozatban foglaltakról az ajánlattevő pénzintézeteket tájékoztattam.</w:t>
      </w:r>
    </w:p>
    <w:p w14:paraId="2B32BC9D" w14:textId="77777777" w:rsidR="00B302E2" w:rsidRPr="00B302E2" w:rsidRDefault="00B302E2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7A939F" w14:textId="77777777" w:rsidR="00B302E2" w:rsidRPr="00B302E2" w:rsidRDefault="00B302E2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7E2AA0" w14:textId="77777777" w:rsidR="00B302E2" w:rsidRPr="00B302E2" w:rsidRDefault="00B302E2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7.)A</w:t>
      </w:r>
      <w:proofErr w:type="gramEnd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282/2022.(XI.3.) Kt. számú határozatban</w:t>
      </w: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302E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Tiszavasvári Város Önkormányzata Képviselő-testülete döntött az Önkormányzat átmeneti likviditási problémáinak kezelésére, Tiszavasvári Város Önkormányzata 2023. évre vonatkozó folyószámla-hitelkeret igénybevételével kapcsolatosan. A Képviselő-testület az igénybe venni kívánt folyószámla-hitelkeret összegét, az előző évekhez hasonlóan 100.000.000 Ft-ban határozta meg. A jelzett határozatról tájékoztattam a számlavezető pénzintézetünket, az ajánlattételhez a szükséges nyilatkozatokat megtettem, a szükséges adatszolgáltatásokat is benyújtotta Önkormányzatunk. Az OTP Bank Nyrt. 2022. november 22. napján megtette az ajánlatát folyószámla-hitel tekintetében, mely ajánlat jóváhagyásához szükséges a Képviselő-testület döntése.</w:t>
      </w:r>
    </w:p>
    <w:p w14:paraId="6C364398" w14:textId="77777777" w:rsidR="00B302E2" w:rsidRPr="00B302E2" w:rsidRDefault="00B302E2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8CC07A4" w14:textId="7F19191D" w:rsidR="00B302E2" w:rsidRDefault="00B302E2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E570AA" w14:textId="7D1FD86F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BF20BF" w14:textId="44581F85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BE0CE2" w14:textId="2D00EC3B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735AC5" w14:textId="3F6DE80C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6BDBD7" w14:textId="22DDABE3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17E2C8" w14:textId="0863D8CB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8097D1" w14:textId="554D3658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2AACE8" w14:textId="1637F914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5B41F7" w14:textId="53FE886E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C4CCC9" w14:textId="26F11948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63A5F8" w14:textId="2BE2C129" w:rsidR="00241E6C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18FFDC" w14:textId="77777777" w:rsidR="00241E6C" w:rsidRPr="00B302E2" w:rsidRDefault="00241E6C" w:rsidP="00B302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5194F2" w14:textId="48FF241C" w:rsidR="002437E7" w:rsidRPr="00241E6C" w:rsidRDefault="00B302E2" w:rsidP="00241E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8.)A</w:t>
      </w:r>
      <w:proofErr w:type="gramEnd"/>
      <w:r w:rsidRPr="00B302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283/2022.(XI.3.) Kt. számú határozatban</w:t>
      </w:r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 35/2022.(II.14.) Kt. számú határozat 1. számú módosításáról. Jelzett határozat (mely az önkormányzat adósságot keletkeztető ügyleteiből eredő fizetési kötelezettségeinek és saját bevételeinek 2022-2025 időszak közötti bemutatásáról szól) módosítására azért került sor, mivel a „2022 évi önkormányzati feladatellátást szolgáló fejlesztések” elnevezésű hitelpályázat hitelkondícióit szükséges volt pontosítani az OTP Bank </w:t>
      </w:r>
      <w:proofErr w:type="spellStart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>Nyrt.kölcsönszerződés</w:t>
      </w:r>
      <w:proofErr w:type="spellEnd"/>
      <w:r w:rsidRPr="00B302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-tervezetében foglalt kondíciókra. Az említett határozat mellékletének a helyébe e határozat melléklete lépett. </w:t>
      </w:r>
    </w:p>
    <w:p w14:paraId="7B9E5F79" w14:textId="77777777" w:rsidR="00B567CE" w:rsidRDefault="00B567CE" w:rsidP="00B567CE">
      <w:pPr>
        <w:jc w:val="both"/>
      </w:pPr>
    </w:p>
    <w:p w14:paraId="4E02F0FF" w14:textId="77777777" w:rsidR="00D86984" w:rsidRDefault="00D86984" w:rsidP="00D8698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02DE508" w14:textId="77777777" w:rsidR="00F97934" w:rsidRDefault="00F97934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29694C4D"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Tiszavasvári, </w:t>
      </w:r>
      <w:r w:rsidR="005D3BEF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2022. </w:t>
      </w:r>
      <w:r w:rsidR="0088030D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11.24.</w:t>
      </w:r>
    </w:p>
    <w:p w14:paraId="284D813B" w14:textId="77777777" w:rsidR="008E4F9A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F97934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7A98177A" w14:textId="77777777" w:rsidR="008C17D7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AA46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37C990DE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C75DB4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62A00D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A2EE8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A4DEA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FD5B17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9C7FB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DB3FDA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2D81E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DCA652" w14:textId="22DAE96C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398FBA" w14:textId="124BB4F4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D69BB12" w14:textId="5C3A97D9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EE058D7" w14:textId="0FBD175C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435E36F" w14:textId="02631050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D7591A0" w14:textId="12606253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C14D" w14:textId="630C74D2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EA91ED" w14:textId="14ED11AF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CC1F4B" w14:textId="62D96D57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448E6D" w14:textId="4318D40C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8BB224" w14:textId="4C3DEA7D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59AE53" w14:textId="51819C17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4DF498" w14:textId="6DAD6E0B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1637B88" w14:textId="5086DAA9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7F5F75" w14:textId="117DF215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BCDCA8" w14:textId="1369E862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104B8CA" w14:textId="77777777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0BD690" w14:textId="68EDB334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200B014" w14:textId="6F6FAF1A" w:rsidR="005D3BEF" w:rsidRDefault="005D3BE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9D6F5C" w14:textId="74C5F103" w:rsidR="005D3BEF" w:rsidRDefault="005D3BE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C28127C" w14:textId="5BC7306F" w:rsidR="005D3BEF" w:rsidRDefault="005D3BE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99E8DF" w14:textId="42875E9F" w:rsidR="00241E6C" w:rsidRDefault="00241E6C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45C8A9" w14:textId="362FDF80" w:rsidR="00241E6C" w:rsidRDefault="00241E6C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9DFEC0" w14:textId="77777777" w:rsidR="00241E6C" w:rsidRDefault="00241E6C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Pr="0049359B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HATÁROZAT-TERVEZET</w:t>
      </w:r>
    </w:p>
    <w:p w14:paraId="58F93D9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07F44533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5D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8803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</w:t>
      </w:r>
      <w:r w:rsidR="005D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.30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B71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14:paraId="6184F3C6" w14:textId="0969C3CC"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91E29" w14:textId="46A110E8" w:rsidR="004E00F0" w:rsidRDefault="004E00F0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127624" w14:textId="77777777" w:rsidR="00133CB6" w:rsidRDefault="00133CB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88EDE3" w14:textId="77777777" w:rsidR="00B92A68" w:rsidRDefault="00B95556" w:rsidP="00B95556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6E808C6F" w14:textId="77777777" w:rsidR="00B302E2" w:rsidRDefault="003950A7" w:rsidP="00B302E2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923D3D2" w14:textId="0C6CE10A" w:rsidR="00B302E2" w:rsidRPr="00241E6C" w:rsidRDefault="00B302E2" w:rsidP="00241E6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1E6C">
        <w:rPr>
          <w:rFonts w:ascii="Times New Roman" w:hAnsi="Times New Roman" w:cs="Times New Roman"/>
          <w:bCs/>
          <w:sz w:val="24"/>
          <w:szCs w:val="24"/>
        </w:rPr>
        <w:t>143/2022.(V.30.) Kt.</w:t>
      </w:r>
      <w:r w:rsidR="00241E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1E6C">
        <w:rPr>
          <w:rFonts w:ascii="Times New Roman" w:hAnsi="Times New Roman" w:cs="Times New Roman"/>
          <w:bCs/>
          <w:sz w:val="24"/>
          <w:szCs w:val="24"/>
        </w:rPr>
        <w:t>számú határozat</w:t>
      </w:r>
    </w:p>
    <w:p w14:paraId="6E82209D" w14:textId="0E018C46" w:rsidR="00B302E2" w:rsidRPr="00241E6C" w:rsidRDefault="00B302E2" w:rsidP="00241E6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1E6C">
        <w:rPr>
          <w:rFonts w:ascii="Times New Roman" w:hAnsi="Times New Roman" w:cs="Times New Roman"/>
          <w:bCs/>
          <w:sz w:val="24"/>
          <w:szCs w:val="24"/>
        </w:rPr>
        <w:t>144/2022.(V.30.) Kt. számú határozat</w:t>
      </w:r>
    </w:p>
    <w:p w14:paraId="166740FC" w14:textId="31C8FCDA" w:rsidR="00B302E2" w:rsidRPr="00241E6C" w:rsidRDefault="00B302E2" w:rsidP="00241E6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1E6C">
        <w:rPr>
          <w:rFonts w:ascii="Times New Roman" w:hAnsi="Times New Roman" w:cs="Times New Roman"/>
          <w:bCs/>
          <w:sz w:val="24"/>
          <w:szCs w:val="24"/>
        </w:rPr>
        <w:t>162/2022.(V.30.) Kt. számú határozat</w:t>
      </w:r>
    </w:p>
    <w:p w14:paraId="6F238F30" w14:textId="5ABF1B47" w:rsidR="00B302E2" w:rsidRPr="00241E6C" w:rsidRDefault="00B302E2" w:rsidP="00241E6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1E6C">
        <w:rPr>
          <w:rFonts w:ascii="Times New Roman" w:hAnsi="Times New Roman" w:cs="Times New Roman"/>
          <w:bCs/>
          <w:sz w:val="24"/>
          <w:szCs w:val="24"/>
        </w:rPr>
        <w:t>203/2022.(VII.28.) Kt. számú határozat</w:t>
      </w:r>
    </w:p>
    <w:p w14:paraId="2819D5A3" w14:textId="3DF573D4" w:rsidR="00B302E2" w:rsidRPr="00241E6C" w:rsidRDefault="00B302E2" w:rsidP="00241E6C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1E6C">
        <w:rPr>
          <w:rFonts w:ascii="Times New Roman" w:hAnsi="Times New Roman" w:cs="Times New Roman"/>
          <w:bCs/>
          <w:sz w:val="24"/>
          <w:szCs w:val="24"/>
        </w:rPr>
        <w:t>204/2022.(VII.28.) Kt. számú határozat</w:t>
      </w:r>
    </w:p>
    <w:p w14:paraId="00C2D447" w14:textId="131C49D9" w:rsidR="00B302E2" w:rsidRPr="00241E6C" w:rsidRDefault="00B302E2" w:rsidP="00241E6C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1E6C">
        <w:rPr>
          <w:rFonts w:ascii="Times New Roman" w:hAnsi="Times New Roman" w:cs="Times New Roman"/>
          <w:bCs/>
          <w:sz w:val="24"/>
          <w:szCs w:val="24"/>
        </w:rPr>
        <w:t>45/2022.(IX.29.) Kt. számú határozat</w:t>
      </w:r>
    </w:p>
    <w:p w14:paraId="5F7BECC1" w14:textId="2EF32702" w:rsidR="00B302E2" w:rsidRPr="00241E6C" w:rsidRDefault="00B302E2" w:rsidP="00241E6C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1E6C">
        <w:rPr>
          <w:rFonts w:ascii="Times New Roman" w:hAnsi="Times New Roman" w:cs="Times New Roman"/>
          <w:bCs/>
          <w:sz w:val="24"/>
          <w:szCs w:val="24"/>
        </w:rPr>
        <w:t>282/2022.(XI.3.) Kt. számú határozat</w:t>
      </w:r>
    </w:p>
    <w:p w14:paraId="0B6ACDA9" w14:textId="5AD08436" w:rsidR="00B302E2" w:rsidRPr="00241E6C" w:rsidRDefault="00B302E2" w:rsidP="00241E6C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1E6C">
        <w:rPr>
          <w:rFonts w:ascii="Times New Roman" w:hAnsi="Times New Roman" w:cs="Times New Roman"/>
          <w:bCs/>
          <w:sz w:val="24"/>
          <w:szCs w:val="24"/>
        </w:rPr>
        <w:t>283/2022.(XI.3.) Kt. számú határozat</w:t>
      </w:r>
    </w:p>
    <w:p w14:paraId="1B6090CE" w14:textId="77777777" w:rsidR="00B302E2" w:rsidRDefault="00B302E2" w:rsidP="00B302E2">
      <w:pPr>
        <w:jc w:val="both"/>
      </w:pPr>
    </w:p>
    <w:p w14:paraId="09D5B074" w14:textId="62A00274" w:rsidR="00855CCE" w:rsidRPr="002437E7" w:rsidRDefault="003950A7" w:rsidP="002437E7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C18D7">
        <w:rPr>
          <w:rFonts w:ascii="Times New Roman" w:hAnsi="Times New Roman" w:cs="Times New Roman"/>
          <w:sz w:val="24"/>
          <w:szCs w:val="24"/>
        </w:rPr>
        <w:tab/>
      </w:r>
      <w:r w:rsidR="00DC18D7">
        <w:rPr>
          <w:rFonts w:ascii="Times New Roman" w:hAnsi="Times New Roman" w:cs="Times New Roman"/>
          <w:sz w:val="24"/>
          <w:szCs w:val="24"/>
        </w:rPr>
        <w:tab/>
      </w:r>
      <w:r w:rsidR="00492C8E" w:rsidRPr="00492C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F3D2338" w14:textId="0E627195" w:rsidR="0042321C" w:rsidRDefault="0042321C" w:rsidP="00D04D46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920BF" w14:textId="77777777" w:rsidR="009E225E" w:rsidRDefault="009E225E" w:rsidP="008A601C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Default="00486F92"/>
    <w:sectPr w:rsidR="00486F92" w:rsidSect="00005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825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607132">
    <w:abstractNumId w:val="3"/>
  </w:num>
  <w:num w:numId="3" w16cid:durableId="848059030">
    <w:abstractNumId w:val="0"/>
  </w:num>
  <w:num w:numId="4" w16cid:durableId="89569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5093"/>
    <w:rsid w:val="00010ED6"/>
    <w:rsid w:val="00052257"/>
    <w:rsid w:val="000550F3"/>
    <w:rsid w:val="00083B43"/>
    <w:rsid w:val="00087406"/>
    <w:rsid w:val="000A10B5"/>
    <w:rsid w:val="000A5B41"/>
    <w:rsid w:val="000C6B2F"/>
    <w:rsid w:val="000C7BD5"/>
    <w:rsid w:val="000D25EC"/>
    <w:rsid w:val="000D40AA"/>
    <w:rsid w:val="000E1715"/>
    <w:rsid w:val="000F0EEA"/>
    <w:rsid w:val="00133CB6"/>
    <w:rsid w:val="0014606C"/>
    <w:rsid w:val="00152709"/>
    <w:rsid w:val="00154E21"/>
    <w:rsid w:val="00163C4F"/>
    <w:rsid w:val="001A364C"/>
    <w:rsid w:val="001B569F"/>
    <w:rsid w:val="001C7DAF"/>
    <w:rsid w:val="001D5E5B"/>
    <w:rsid w:val="001E4CD7"/>
    <w:rsid w:val="001E6A8F"/>
    <w:rsid w:val="001E7EBB"/>
    <w:rsid w:val="00206297"/>
    <w:rsid w:val="00212510"/>
    <w:rsid w:val="0021566E"/>
    <w:rsid w:val="00241E6C"/>
    <w:rsid w:val="002437E7"/>
    <w:rsid w:val="00246D29"/>
    <w:rsid w:val="00260E32"/>
    <w:rsid w:val="00295C83"/>
    <w:rsid w:val="002D6078"/>
    <w:rsid w:val="002E0AE9"/>
    <w:rsid w:val="00306C69"/>
    <w:rsid w:val="00346494"/>
    <w:rsid w:val="00350749"/>
    <w:rsid w:val="0036756B"/>
    <w:rsid w:val="003950A7"/>
    <w:rsid w:val="003B241B"/>
    <w:rsid w:val="003C3855"/>
    <w:rsid w:val="003C57CC"/>
    <w:rsid w:val="003D0B3A"/>
    <w:rsid w:val="003D7C67"/>
    <w:rsid w:val="00403CD1"/>
    <w:rsid w:val="0042321C"/>
    <w:rsid w:val="00427454"/>
    <w:rsid w:val="00441D75"/>
    <w:rsid w:val="0048633B"/>
    <w:rsid w:val="00486F92"/>
    <w:rsid w:val="00492C8E"/>
    <w:rsid w:val="0049359B"/>
    <w:rsid w:val="004B40F4"/>
    <w:rsid w:val="004C15AB"/>
    <w:rsid w:val="004E00F0"/>
    <w:rsid w:val="004E1D68"/>
    <w:rsid w:val="00510C18"/>
    <w:rsid w:val="00510EC9"/>
    <w:rsid w:val="00513DAE"/>
    <w:rsid w:val="00524EBD"/>
    <w:rsid w:val="005468E2"/>
    <w:rsid w:val="00560130"/>
    <w:rsid w:val="00567342"/>
    <w:rsid w:val="00580E57"/>
    <w:rsid w:val="005A788F"/>
    <w:rsid w:val="005B7990"/>
    <w:rsid w:val="005B7DDC"/>
    <w:rsid w:val="005D308F"/>
    <w:rsid w:val="005D3BEF"/>
    <w:rsid w:val="005F6878"/>
    <w:rsid w:val="00647372"/>
    <w:rsid w:val="00647C17"/>
    <w:rsid w:val="00650544"/>
    <w:rsid w:val="00651A82"/>
    <w:rsid w:val="00685EFA"/>
    <w:rsid w:val="006959DB"/>
    <w:rsid w:val="006B1E81"/>
    <w:rsid w:val="006E2084"/>
    <w:rsid w:val="00700B05"/>
    <w:rsid w:val="00750F62"/>
    <w:rsid w:val="00756BAB"/>
    <w:rsid w:val="00764165"/>
    <w:rsid w:val="007800DF"/>
    <w:rsid w:val="007B33F1"/>
    <w:rsid w:val="007D41CA"/>
    <w:rsid w:val="0082019C"/>
    <w:rsid w:val="008407E3"/>
    <w:rsid w:val="008422E4"/>
    <w:rsid w:val="00855CCE"/>
    <w:rsid w:val="008620CF"/>
    <w:rsid w:val="008770D4"/>
    <w:rsid w:val="0088030D"/>
    <w:rsid w:val="008A601C"/>
    <w:rsid w:val="008C17D7"/>
    <w:rsid w:val="008C595F"/>
    <w:rsid w:val="008D6AB7"/>
    <w:rsid w:val="008D7844"/>
    <w:rsid w:val="008E1BA7"/>
    <w:rsid w:val="008E4F9A"/>
    <w:rsid w:val="008E7CED"/>
    <w:rsid w:val="008F576D"/>
    <w:rsid w:val="009111F0"/>
    <w:rsid w:val="0091654D"/>
    <w:rsid w:val="00920A06"/>
    <w:rsid w:val="00926A68"/>
    <w:rsid w:val="00941CAA"/>
    <w:rsid w:val="00943415"/>
    <w:rsid w:val="00954461"/>
    <w:rsid w:val="00956D64"/>
    <w:rsid w:val="009D06B2"/>
    <w:rsid w:val="009D776C"/>
    <w:rsid w:val="009E225E"/>
    <w:rsid w:val="00A37E51"/>
    <w:rsid w:val="00A53E46"/>
    <w:rsid w:val="00A577DE"/>
    <w:rsid w:val="00A61E6C"/>
    <w:rsid w:val="00A64D6F"/>
    <w:rsid w:val="00A67F65"/>
    <w:rsid w:val="00A720CF"/>
    <w:rsid w:val="00AA4657"/>
    <w:rsid w:val="00AC3FCF"/>
    <w:rsid w:val="00AC7561"/>
    <w:rsid w:val="00AD5111"/>
    <w:rsid w:val="00B04ADB"/>
    <w:rsid w:val="00B302E2"/>
    <w:rsid w:val="00B40E56"/>
    <w:rsid w:val="00B47412"/>
    <w:rsid w:val="00B567CE"/>
    <w:rsid w:val="00B85F7C"/>
    <w:rsid w:val="00B87CFF"/>
    <w:rsid w:val="00B92A68"/>
    <w:rsid w:val="00B95556"/>
    <w:rsid w:val="00BA0714"/>
    <w:rsid w:val="00BB1D8F"/>
    <w:rsid w:val="00BB5181"/>
    <w:rsid w:val="00BD08BF"/>
    <w:rsid w:val="00BE34F4"/>
    <w:rsid w:val="00BE5BF8"/>
    <w:rsid w:val="00C73959"/>
    <w:rsid w:val="00C828F2"/>
    <w:rsid w:val="00C838EB"/>
    <w:rsid w:val="00C8697E"/>
    <w:rsid w:val="00CA1062"/>
    <w:rsid w:val="00CC27B9"/>
    <w:rsid w:val="00CD40B2"/>
    <w:rsid w:val="00D04D46"/>
    <w:rsid w:val="00D0746D"/>
    <w:rsid w:val="00D21872"/>
    <w:rsid w:val="00D2489D"/>
    <w:rsid w:val="00D553A8"/>
    <w:rsid w:val="00D638AE"/>
    <w:rsid w:val="00D86984"/>
    <w:rsid w:val="00D92C66"/>
    <w:rsid w:val="00DC18D7"/>
    <w:rsid w:val="00DC67E4"/>
    <w:rsid w:val="00DD16C2"/>
    <w:rsid w:val="00DF76EC"/>
    <w:rsid w:val="00E2220A"/>
    <w:rsid w:val="00E269C2"/>
    <w:rsid w:val="00E27018"/>
    <w:rsid w:val="00E36F7B"/>
    <w:rsid w:val="00E4193D"/>
    <w:rsid w:val="00E42751"/>
    <w:rsid w:val="00E444BE"/>
    <w:rsid w:val="00E5337A"/>
    <w:rsid w:val="00E90076"/>
    <w:rsid w:val="00EA5A51"/>
    <w:rsid w:val="00EB53B2"/>
    <w:rsid w:val="00F0682A"/>
    <w:rsid w:val="00F21333"/>
    <w:rsid w:val="00F44CFF"/>
    <w:rsid w:val="00F4513E"/>
    <w:rsid w:val="00F46F75"/>
    <w:rsid w:val="00F50976"/>
    <w:rsid w:val="00F56D2C"/>
    <w:rsid w:val="00F721E8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1047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21</cp:revision>
  <cp:lastPrinted>2021-11-18T08:09:00Z</cp:lastPrinted>
  <dcterms:created xsi:type="dcterms:W3CDTF">2021-11-18T07:16:00Z</dcterms:created>
  <dcterms:modified xsi:type="dcterms:W3CDTF">2022-11-24T10:21:00Z</dcterms:modified>
</cp:coreProperties>
</file>