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0DA" w:rsidRDefault="008D00DA" w:rsidP="008D00DA">
      <w:r>
        <w:rPr>
          <w:b/>
          <w:u w:val="single"/>
        </w:rPr>
        <w:t>Ügyszám:</w:t>
      </w:r>
      <w:r>
        <w:t>42- 7/2018.</w:t>
      </w:r>
    </w:p>
    <w:p w:rsidR="008D00DA" w:rsidRDefault="008D00DA" w:rsidP="008D00DA">
      <w:pPr>
        <w:rPr>
          <w:b/>
          <w:u w:val="single"/>
        </w:rPr>
      </w:pPr>
      <w:r>
        <w:rPr>
          <w:b/>
          <w:u w:val="single"/>
        </w:rPr>
        <w:t xml:space="preserve">Előzmény: </w:t>
      </w:r>
      <w:r>
        <w:t>48-4/2017.</w:t>
      </w:r>
    </w:p>
    <w:p w:rsidR="008D00DA" w:rsidRDefault="008D00DA" w:rsidP="008D00DA">
      <w:pPr>
        <w:jc w:val="center"/>
        <w:rPr>
          <w:b/>
          <w:u w:val="single"/>
        </w:rPr>
      </w:pPr>
    </w:p>
    <w:p w:rsidR="008D00DA" w:rsidRDefault="008D00DA" w:rsidP="008D00DA">
      <w:pPr>
        <w:spacing w:line="360" w:lineRule="auto"/>
        <w:jc w:val="center"/>
        <w:rPr>
          <w:b/>
        </w:rPr>
      </w:pPr>
      <w:r>
        <w:rPr>
          <w:b/>
        </w:rPr>
        <w:t>Tisztelt Szőke Zoltán Polgármester Úr!</w:t>
      </w:r>
    </w:p>
    <w:p w:rsidR="008D00DA" w:rsidRDefault="008D00DA" w:rsidP="008D00DA">
      <w:pPr>
        <w:spacing w:line="360" w:lineRule="auto"/>
        <w:jc w:val="center"/>
        <w:rPr>
          <w:b/>
        </w:rPr>
      </w:pPr>
      <w:r>
        <w:rPr>
          <w:b/>
        </w:rPr>
        <w:t>Tisztelt Szociális és Humán Bizottság Tagok!</w:t>
      </w:r>
    </w:p>
    <w:p w:rsidR="008D00DA" w:rsidRDefault="008D00DA" w:rsidP="008D00DA">
      <w:pPr>
        <w:spacing w:line="360" w:lineRule="auto"/>
        <w:jc w:val="both"/>
      </w:pPr>
    </w:p>
    <w:p w:rsidR="008D00DA" w:rsidRDefault="008D00DA" w:rsidP="008D00DA">
      <w:pPr>
        <w:spacing w:line="360" w:lineRule="auto"/>
        <w:jc w:val="both"/>
      </w:pPr>
      <w:proofErr w:type="gramStart"/>
      <w:r>
        <w:t>Az</w:t>
      </w:r>
      <w:r>
        <w:rPr>
          <w:b/>
        </w:rPr>
        <w:t xml:space="preserve"> </w:t>
      </w:r>
      <w:r>
        <w:t xml:space="preserve"> 1</w:t>
      </w:r>
      <w:proofErr w:type="gramEnd"/>
      <w:r>
        <w:t xml:space="preserve">/2000. ( I.7) SZCSM. rendelet 119. § (1) </w:t>
      </w:r>
      <w:proofErr w:type="gramStart"/>
      <w:r>
        <w:t>alapján :</w:t>
      </w:r>
      <w:proofErr w:type="gramEnd"/>
      <w:r>
        <w:t xml:space="preserve"> Az egyes szociális és gyermekvédelmi tárgyú miniszteri rendeletek módosításáról szóló 1/2017. (II. 14.) EMMI rendelet hatálybalépésekor már működő </w:t>
      </w:r>
      <w:r>
        <w:rPr>
          <w:u w:val="single"/>
        </w:rPr>
        <w:t>50 fő feletti fogyatékos személyek,</w:t>
      </w:r>
      <w:r>
        <w:t xml:space="preserve"> pszichiátriai és szenvedélybetegek </w:t>
      </w:r>
      <w:r>
        <w:rPr>
          <w:u w:val="single"/>
        </w:rPr>
        <w:t xml:space="preserve">ápoló-gondozó otthona esetében </w:t>
      </w:r>
      <w:r>
        <w:rPr>
          <w:b/>
          <w:u w:val="single"/>
        </w:rPr>
        <w:t>az intézményi férőhely kiváltási tervet 2018. december 31-éig kell elkészíteni</w:t>
      </w:r>
      <w:r>
        <w:rPr>
          <w:b/>
        </w:rPr>
        <w:t>.</w:t>
      </w:r>
    </w:p>
    <w:p w:rsidR="008D00DA" w:rsidRDefault="008D00DA" w:rsidP="008D00DA">
      <w:pPr>
        <w:spacing w:line="360" w:lineRule="auto"/>
        <w:jc w:val="both"/>
      </w:pPr>
    </w:p>
    <w:p w:rsidR="008D00DA" w:rsidRDefault="008D00DA" w:rsidP="008D00DA">
      <w:pPr>
        <w:spacing w:line="360" w:lineRule="auto"/>
        <w:jc w:val="both"/>
        <w:rPr>
          <w:u w:val="single"/>
        </w:rPr>
      </w:pPr>
      <w:r>
        <w:t xml:space="preserve">Az </w:t>
      </w:r>
      <w:proofErr w:type="spellStart"/>
      <w:r>
        <w:t>IFKT-módszertan</w:t>
      </w:r>
      <w:proofErr w:type="spellEnd"/>
      <w:r>
        <w:t xml:space="preserve"> alkalmazása és az Intézményi Férőhely Kiváltási Terv (IFKT) elkészítése egy olyan adatgyűjtést, adatelemzést, tervezési és módszertani feladatokat magába foglaló folyamat, amely a lakók szükségleteire, az intézmény adottságaira és erőforrásaira, valamint </w:t>
      </w:r>
      <w:r>
        <w:rPr>
          <w:u w:val="single"/>
        </w:rPr>
        <w:t>a céltelepülések meglévő és lehetséges kapacitásaira épít.</w:t>
      </w:r>
    </w:p>
    <w:p w:rsidR="008D00DA" w:rsidRDefault="008D00DA" w:rsidP="008D00DA">
      <w:pPr>
        <w:spacing w:line="360" w:lineRule="auto"/>
        <w:jc w:val="both"/>
      </w:pPr>
      <w:proofErr w:type="gramStart"/>
      <w:r>
        <w:t xml:space="preserve">Ezekre támaszkodva az intézmény megtervezi a teljes kiváltási folyamatot: a lakók, a munkatársak és a támogatói háló felkészítését, a kiváltási folyamat során realizálódó intézményi szolgáltatási gyűrűt és szolgáltatási portfóliót, a lakhatási és egyéb szolgáltatások infrastrukturális és pénzügyi feltételeit, valamint az intézményi ellátásról a közösségi szolgáltatásra való áttérést kísérő, a közösségi befogadást és részvételt támogató intézményi és (helyi) társadalmi kommunikációt,a </w:t>
      </w:r>
      <w:r>
        <w:rPr>
          <w:u w:val="single"/>
        </w:rPr>
        <w:t xml:space="preserve">TL során tervezett és az intézményen kívül elérhető szolgáltatási gyűrűt, valamint a kiváltási folyamat során </w:t>
      </w:r>
      <w:proofErr w:type="gramEnd"/>
      <w:r>
        <w:rPr>
          <w:u w:val="single"/>
        </w:rPr>
        <w:t xml:space="preserve">a </w:t>
      </w:r>
      <w:proofErr w:type="gramStart"/>
      <w:r>
        <w:rPr>
          <w:u w:val="single"/>
        </w:rPr>
        <w:t>jelenlegi</w:t>
      </w:r>
      <w:proofErr w:type="gramEnd"/>
      <w:r>
        <w:rPr>
          <w:u w:val="single"/>
        </w:rPr>
        <w:t xml:space="preserve"> működésről a tervezett működésre való áttéréshez szükséges lépéseket, intézkedéseket. </w:t>
      </w:r>
    </w:p>
    <w:p w:rsidR="008D00DA" w:rsidRDefault="008D00DA" w:rsidP="008D00DA">
      <w:pPr>
        <w:spacing w:line="360" w:lineRule="auto"/>
        <w:jc w:val="both"/>
      </w:pPr>
      <w:r>
        <w:t xml:space="preserve">A terv bemutatja, hogy a kiváltáshoz milyen tájékoztatás és felkészítés szükséges a lakók, a munkatársak és a környezet számára (egyéni kiváltási terv, munkatársak képzési igénye, kommunikációs terv stb.), valamint hogyan jön létre a TL infrastruktúrája. </w:t>
      </w:r>
    </w:p>
    <w:p w:rsidR="008D00DA" w:rsidRDefault="008D00DA" w:rsidP="008D00DA">
      <w:pPr>
        <w:spacing w:line="360" w:lineRule="auto"/>
        <w:jc w:val="both"/>
      </w:pPr>
    </w:p>
    <w:p w:rsidR="008D00DA" w:rsidRDefault="008D00DA" w:rsidP="008D00DA">
      <w:pPr>
        <w:spacing w:line="360" w:lineRule="auto"/>
        <w:jc w:val="both"/>
      </w:pPr>
      <w:r>
        <w:t>Az IFKT három nagy egységből áll:</w:t>
      </w:r>
    </w:p>
    <w:p w:rsidR="008D00DA" w:rsidRDefault="008D00DA" w:rsidP="008D00DA">
      <w:pPr>
        <w:spacing w:line="360" w:lineRule="auto"/>
        <w:jc w:val="both"/>
      </w:pPr>
      <w:r>
        <w:t xml:space="preserve">(1) a helyzetelemzés, </w:t>
      </w:r>
    </w:p>
    <w:p w:rsidR="008D00DA" w:rsidRDefault="008D00DA" w:rsidP="008D00DA">
      <w:pPr>
        <w:spacing w:line="360" w:lineRule="auto"/>
        <w:jc w:val="both"/>
      </w:pPr>
      <w:r>
        <w:t xml:space="preserve">(2) az intézményi férőhely kiváltás nyomán létrejövő új struktúra bemutatása és </w:t>
      </w:r>
    </w:p>
    <w:p w:rsidR="008D00DA" w:rsidRDefault="008D00DA" w:rsidP="008D00DA">
      <w:pPr>
        <w:spacing w:line="360" w:lineRule="auto"/>
        <w:jc w:val="both"/>
      </w:pPr>
      <w:r>
        <w:t xml:space="preserve">(3) az új szolgáltatási struktúrához szükséges tevékenységek bemutatása. </w:t>
      </w:r>
    </w:p>
    <w:p w:rsidR="008D00DA" w:rsidRDefault="008D00DA" w:rsidP="008D00DA">
      <w:pPr>
        <w:spacing w:line="360" w:lineRule="auto"/>
        <w:jc w:val="both"/>
      </w:pPr>
      <w:r>
        <w:lastRenderedPageBreak/>
        <w:t xml:space="preserve">A kiváltási folyamat tervezéséhez a támogatott lakhatásra vonatkozó stratégiai tervből kell kiindulni, melyből egy, a kiváltást célzó projektterv készül. </w:t>
      </w:r>
    </w:p>
    <w:p w:rsidR="008D00DA" w:rsidRDefault="008D00DA" w:rsidP="008D00DA">
      <w:pPr>
        <w:spacing w:line="360" w:lineRule="auto"/>
        <w:jc w:val="both"/>
      </w:pPr>
    </w:p>
    <w:p w:rsidR="008D00DA" w:rsidRDefault="008D00DA" w:rsidP="008D00DA">
      <w:pPr>
        <w:spacing w:line="360" w:lineRule="auto"/>
        <w:jc w:val="both"/>
      </w:pPr>
      <w:r>
        <w:t xml:space="preserve">A stratégiai döntésekhez a lehető legtöbb információra van szükség, azonban </w:t>
      </w:r>
      <w:r>
        <w:rPr>
          <w:u w:val="single"/>
        </w:rPr>
        <w:t>minél hosszabb távú tervek születnek, annál bizonytalanabbak az információk, illetve a levonható következtetések, prognosztizálható változások, trendek.</w:t>
      </w:r>
      <w:r>
        <w:t xml:space="preserve"> </w:t>
      </w:r>
      <w:r>
        <w:rPr>
          <w:b/>
        </w:rPr>
        <w:t>A stratégiai tervezés során nehézséget jelenthet, ha többféle célt kell összehangolni vagy többféle érdeket kell kielégíteni, hiszen a stratégiai tervezés eleve többszereplős döntéseket igényel</w:t>
      </w:r>
      <w:r>
        <w:t>.</w:t>
      </w:r>
    </w:p>
    <w:p w:rsidR="008D00DA" w:rsidRDefault="008D00DA" w:rsidP="008D00DA">
      <w:pPr>
        <w:spacing w:line="360" w:lineRule="auto"/>
        <w:jc w:val="both"/>
      </w:pPr>
      <w:r>
        <w:t xml:space="preserve"> A stratégiai tervezés során döntést kell hozni arra vonatkozóan, hogy milyen időintervallumra készül a terv, milyen információkra kell, hogy támaszkodjon és mennyire lesz rugalmas, a körülmények, a jogszabályok stb. változása esetén kell-e változtatni rajta.</w:t>
      </w:r>
    </w:p>
    <w:p w:rsidR="008D00DA" w:rsidRDefault="008D00DA" w:rsidP="008D00DA">
      <w:pPr>
        <w:spacing w:line="360" w:lineRule="auto"/>
        <w:jc w:val="both"/>
        <w:rPr>
          <w:b/>
        </w:rPr>
      </w:pPr>
      <w:r>
        <w:rPr>
          <w:b/>
        </w:rPr>
        <w:t xml:space="preserve">Alapvetően a fenntartó döntésén és az intézményi struktúrán múlik, hogy a kiváltás során milyen jellegű stratégiát alakít ki a támogatott lakhatásra vonatkozóan. </w:t>
      </w:r>
    </w:p>
    <w:p w:rsidR="008D00DA" w:rsidRDefault="008D00DA" w:rsidP="008D00DA">
      <w:pPr>
        <w:spacing w:line="360" w:lineRule="auto"/>
        <w:jc w:val="both"/>
      </w:pPr>
      <w:r>
        <w:rPr>
          <w:b/>
        </w:rPr>
        <w:t>TL létrehozása előtt szükséges felülvizsgálni és módosítani</w:t>
      </w:r>
      <w:r>
        <w:t xml:space="preserve">. </w:t>
      </w:r>
    </w:p>
    <w:p w:rsidR="008D00DA" w:rsidRDefault="008D00DA" w:rsidP="008D00DA">
      <w:pPr>
        <w:spacing w:line="360" w:lineRule="auto"/>
        <w:jc w:val="both"/>
      </w:pPr>
    </w:p>
    <w:p w:rsidR="008D00DA" w:rsidRDefault="008D00DA" w:rsidP="008D00DA">
      <w:pPr>
        <w:spacing w:line="360" w:lineRule="auto"/>
        <w:jc w:val="both"/>
      </w:pPr>
      <w:r>
        <w:t xml:space="preserve">A stratégiai tervezés során mindig támaszkodni kell a </w:t>
      </w:r>
      <w:r>
        <w:rPr>
          <w:i/>
        </w:rPr>
        <w:t>6 magasabb szintű tervekre</w:t>
      </w:r>
      <w:r>
        <w:t xml:space="preserve">, azaz ha a </w:t>
      </w:r>
      <w:proofErr w:type="spellStart"/>
      <w:r>
        <w:t>TL-re</w:t>
      </w:r>
      <w:proofErr w:type="spellEnd"/>
      <w:r>
        <w:t xml:space="preserve"> készül a terv, annak illeszkednie kell a szervezeti stratégiához, valamint a kormányzati stratégiákhoz is. A stratégiai tervnek választ kell adni a </w:t>
      </w:r>
      <w:r>
        <w:rPr>
          <w:u w:val="single"/>
        </w:rPr>
        <w:t>Miért? Kiknek? Mit? Hogyan? Milyen körülmények között? Milyen eredménnyel? Mikor és kinek kell csinálni?</w:t>
      </w:r>
      <w:r>
        <w:t xml:space="preserve"> </w:t>
      </w:r>
      <w:proofErr w:type="gramStart"/>
      <w:r>
        <w:t>kérdésekre</w:t>
      </w:r>
      <w:proofErr w:type="gramEnd"/>
      <w:r>
        <w:t xml:space="preserve">. </w:t>
      </w:r>
    </w:p>
    <w:p w:rsidR="008D00DA" w:rsidRDefault="008D00DA" w:rsidP="008D00DA">
      <w:pPr>
        <w:spacing w:line="360" w:lineRule="auto"/>
        <w:jc w:val="both"/>
      </w:pPr>
      <w:r>
        <w:t xml:space="preserve">A stratégiai tervezés általában </w:t>
      </w:r>
      <w:proofErr w:type="gramStart"/>
      <w:r>
        <w:t>5-évet  ölel</w:t>
      </w:r>
      <w:proofErr w:type="gramEnd"/>
      <w:r>
        <w:t xml:space="preserve"> fel, amelyet a megvalósítás érdekében éves szintű operatív tervekre szükséges lebontani. </w:t>
      </w:r>
    </w:p>
    <w:p w:rsidR="008D00DA" w:rsidRDefault="008D00DA" w:rsidP="008D00DA">
      <w:pPr>
        <w:spacing w:line="360" w:lineRule="auto"/>
        <w:jc w:val="both"/>
      </w:pPr>
    </w:p>
    <w:p w:rsidR="008D00DA" w:rsidRDefault="008D00DA" w:rsidP="008D00DA">
      <w:pPr>
        <w:spacing w:line="360" w:lineRule="auto"/>
        <w:jc w:val="both"/>
      </w:pPr>
      <w:r>
        <w:rPr>
          <w:b/>
        </w:rPr>
        <w:t>A közösségi tőke hét típusa</w:t>
      </w:r>
      <w:r>
        <w:t xml:space="preserve"> mentén elemezve a célterületet, felismerhetjük a TL szempontjából releváns erőforrásokat és a bennük rejlő lehetőségeket: </w:t>
      </w:r>
    </w:p>
    <w:p w:rsidR="008D00DA" w:rsidRDefault="008D00DA" w:rsidP="008D00DA">
      <w:pPr>
        <w:spacing w:line="360" w:lineRule="auto"/>
        <w:jc w:val="both"/>
      </w:pPr>
      <w:r>
        <w:t xml:space="preserve">1. Természeti tőke – a természeti környezet minőségi és mennyiségi erőforrásai, pl. parkok, tavak, folyók stb. </w:t>
      </w:r>
    </w:p>
    <w:p w:rsidR="008D00DA" w:rsidRDefault="008D00DA" w:rsidP="008D00DA">
      <w:pPr>
        <w:spacing w:line="360" w:lineRule="auto"/>
        <w:jc w:val="both"/>
      </w:pPr>
      <w:r>
        <w:t xml:space="preserve">2. Kulturális tőke – a kulturális környezet, amely körülvesz bennünket, érintve a közös nyelvet, a szimbólumokat, a gesztusokat, a hitet, hiedelmeket, szokásokat, a közösségben rejlő kulturális értékeket, erőforrásokat. Pl. kulturális rendezvények, fesztiválok, kulturális intézmények stb. </w:t>
      </w:r>
    </w:p>
    <w:p w:rsidR="008D00DA" w:rsidRDefault="008D00DA" w:rsidP="008D00DA">
      <w:pPr>
        <w:spacing w:line="360" w:lineRule="auto"/>
        <w:jc w:val="both"/>
      </w:pPr>
      <w:r>
        <w:lastRenderedPageBreak/>
        <w:t xml:space="preserve">3. Humán tőke – egyének és közösségeik szellemi és fizikai képességei, beleértve az oktatást, ismeretátadást és készségfejlesztést, melyek hozzájárulnak az egyén és a közösség fejlesztéséhez. Pl. oktatási intézmények, humánerő-fejlesztési programok stb. </w:t>
      </w:r>
    </w:p>
    <w:p w:rsidR="008D00DA" w:rsidRDefault="008D00DA" w:rsidP="008D00DA">
      <w:pPr>
        <w:spacing w:line="360" w:lineRule="auto"/>
        <w:jc w:val="both"/>
      </w:pPr>
      <w:r>
        <w:t xml:space="preserve">4. Társadalmi tőke – emberi kapcsolatok, személyek és intézmények közötti kapcsolatrendszerek, együttműködések, „csereviszonyok”. Pl. az intézmény külső kapcsolatai, olyan tevékenységek, melyek a bizalomépítést szolgálják különböző etnikai, életkori stb. csoportok között, közösségi tervezés és közös döntések, közösségi rendezvények stb. </w:t>
      </w:r>
    </w:p>
    <w:p w:rsidR="008D00DA" w:rsidRDefault="008D00DA" w:rsidP="008D00DA">
      <w:pPr>
        <w:spacing w:line="360" w:lineRule="auto"/>
        <w:jc w:val="both"/>
      </w:pPr>
      <w:r>
        <w:t xml:space="preserve">5. Politikai tőke – a jogszabályok, szabályozások befolyásolásának képessége; azok az emberek, hálózatok, csoportok és közösségek, akik képesek helyben hatással lenni a politikai folyamatokra, tevékenységekre; részvétel a társadalmi vitákban. Pl. választott és kinevezett kormányzati tisztviselők, politikai szervezetek vezetői, részvétel a helyi és országos választásokon stb. </w:t>
      </w:r>
    </w:p>
    <w:p w:rsidR="008D00DA" w:rsidRDefault="008D00DA" w:rsidP="008D00DA">
      <w:pPr>
        <w:spacing w:line="360" w:lineRule="auto"/>
        <w:jc w:val="both"/>
      </w:pPr>
      <w:r>
        <w:t xml:space="preserve">6. Gazdasági (anyagi) tőke – olyan anyagi eszközök, anyagi erőforrások melyek fellelhetők a környezetben. Pl. helyi, regionális és országos fejlesztési intézmények, bankok, pályázati források stb. </w:t>
      </w:r>
    </w:p>
    <w:p w:rsidR="008D00DA" w:rsidRDefault="008D00DA" w:rsidP="008D00DA">
      <w:pPr>
        <w:spacing w:line="360" w:lineRule="auto"/>
        <w:jc w:val="both"/>
      </w:pPr>
      <w:r>
        <w:t>7. Épített tőke – az épített környezet, szolgáltatások, infrastruktúra. Pl. információs technológia, úthálózat, egészségügyi szolgáltatások stb.</w:t>
      </w:r>
    </w:p>
    <w:p w:rsidR="008D00DA" w:rsidRDefault="008D00DA" w:rsidP="008D00DA">
      <w:pPr>
        <w:spacing w:line="360" w:lineRule="auto"/>
        <w:jc w:val="both"/>
      </w:pPr>
    </w:p>
    <w:p w:rsidR="008D00DA" w:rsidRDefault="008D00DA" w:rsidP="008D00DA">
      <w:pPr>
        <w:pStyle w:val="cf0"/>
        <w:spacing w:before="0" w:beforeAutospacing="0" w:after="0" w:afterAutospacing="0" w:line="360" w:lineRule="auto"/>
        <w:jc w:val="both"/>
      </w:pPr>
      <w:r>
        <w:rPr>
          <w:i/>
          <w:u w:val="single"/>
        </w:rPr>
        <w:t xml:space="preserve">A támogatási kérelem </w:t>
      </w:r>
      <w:r>
        <w:rPr>
          <w:b/>
          <w:i/>
          <w:u w:val="single"/>
        </w:rPr>
        <w:t>benyújtását megelőzően</w:t>
      </w:r>
      <w:r>
        <w:rPr>
          <w:i/>
          <w:u w:val="single"/>
        </w:rPr>
        <w:t xml:space="preserve"> együttműködés kialakítása szükséges az </w:t>
      </w:r>
      <w:proofErr w:type="spellStart"/>
      <w:r>
        <w:rPr>
          <w:i/>
          <w:u w:val="single"/>
        </w:rPr>
        <w:t>FSZK-val</w:t>
      </w:r>
      <w:proofErr w:type="spellEnd"/>
      <w:r>
        <w:rPr>
          <w:i/>
          <w:u w:val="single"/>
        </w:rPr>
        <w:t>,</w:t>
      </w:r>
      <w:r>
        <w:t xml:space="preserve"> melyhez </w:t>
      </w:r>
      <w:r>
        <w:rPr>
          <w:b/>
        </w:rPr>
        <w:t>regisztrálni kell</w:t>
      </w:r>
      <w:r>
        <w:t xml:space="preserve"> az alábbi elérhetőségen: </w:t>
      </w:r>
      <w:hyperlink r:id="rId8" w:history="1">
        <w:r>
          <w:rPr>
            <w:rStyle w:val="Hiperhivatkozs"/>
          </w:rPr>
          <w:t xml:space="preserve">http://fszk.hu/szakmai-tevekenysegek/intezmenyi-ferohely-kivaltas/tars-projekt-efop-1-9-1/efop-2-2-5- </w:t>
        </w:r>
        <w:proofErr w:type="spellStart"/>
        <w:r>
          <w:rPr>
            <w:rStyle w:val="Hiperhivatkozs"/>
          </w:rPr>
          <w:t>palyazoi-regisztracio</w:t>
        </w:r>
        <w:proofErr w:type="spellEnd"/>
        <w:r>
          <w:rPr>
            <w:rStyle w:val="Hiperhivatkozs"/>
          </w:rPr>
          <w:t>/</w:t>
        </w:r>
      </w:hyperlink>
      <w:r>
        <w:t xml:space="preserve"> </w:t>
      </w:r>
    </w:p>
    <w:p w:rsidR="008D00DA" w:rsidRDefault="008D00DA" w:rsidP="008D00DA">
      <w:pPr>
        <w:pStyle w:val="cf0"/>
        <w:spacing w:before="0" w:beforeAutospacing="0" w:after="0" w:afterAutospacing="0" w:line="360" w:lineRule="auto"/>
        <w:jc w:val="both"/>
      </w:pPr>
      <w:r>
        <w:rPr>
          <w:i/>
        </w:rPr>
        <w:t>Az Intézményi Férőhely Kiváltást Koordináló Országos Testület (IFKKOT) által kiadott írásos vélemény a támogatási kérelemmel együtt nyújtandó be</w:t>
      </w:r>
      <w:r>
        <w:t xml:space="preserve">. </w:t>
      </w:r>
    </w:p>
    <w:p w:rsidR="008D00DA" w:rsidRDefault="008D00DA" w:rsidP="008D00DA">
      <w:pPr>
        <w:pStyle w:val="m8446492817344192103m551958002364862942gmail-m458636710895151759msolistparagraph"/>
        <w:shd w:val="clear" w:color="auto" w:fill="FFFFFF"/>
        <w:spacing w:after="200" w:afterAutospacing="0" w:line="360" w:lineRule="auto"/>
        <w:jc w:val="both"/>
      </w:pPr>
      <w:r>
        <w:t>   Az intézményi férőhely kiváltási programban szükséges </w:t>
      </w:r>
      <w:r>
        <w:rPr>
          <w:b/>
          <w:bCs/>
        </w:rPr>
        <w:t>egy fenntartó képviselőn kívül </w:t>
      </w:r>
      <w:r>
        <w:br/>
      </w:r>
      <w:r>
        <w:rPr>
          <w:b/>
          <w:bCs/>
        </w:rPr>
        <w:t xml:space="preserve">1 fő részvétele az ingatlanok felmérése és ingatlan portfólió terv elkészítéséhez kapcsolódóan  </w:t>
      </w:r>
      <w:proofErr w:type="spellStart"/>
      <w:r>
        <w:rPr>
          <w:b/>
          <w:bCs/>
        </w:rPr>
        <w:t>ill</w:t>
      </w:r>
      <w:proofErr w:type="spellEnd"/>
      <w:r>
        <w:rPr>
          <w:b/>
          <w:bCs/>
        </w:rPr>
        <w:t xml:space="preserve"> 1 fő gazdasági </w:t>
      </w:r>
      <w:proofErr w:type="gramStart"/>
      <w:r>
        <w:rPr>
          <w:b/>
          <w:bCs/>
        </w:rPr>
        <w:t>vezető</w:t>
      </w:r>
      <w:proofErr w:type="gramEnd"/>
      <w:r>
        <w:rPr>
          <w:b/>
          <w:bCs/>
        </w:rPr>
        <w:t xml:space="preserve"> ill. pénzügyi tervezésért felelős személy </w:t>
      </w:r>
    </w:p>
    <w:p w:rsidR="008D00DA" w:rsidRDefault="008D00DA" w:rsidP="008D00DA">
      <w:pPr>
        <w:spacing w:line="360" w:lineRule="auto"/>
        <w:jc w:val="both"/>
      </w:pPr>
    </w:p>
    <w:p w:rsidR="008D00DA" w:rsidRDefault="008D00DA" w:rsidP="008D00DA">
      <w:pPr>
        <w:spacing w:line="360" w:lineRule="auto"/>
        <w:jc w:val="both"/>
      </w:pPr>
      <w:r>
        <w:lastRenderedPageBreak/>
        <w:t xml:space="preserve">A környezeti felmérés, a szolgáltatási gyűrű felrajzolása és a lakhatási célú ingatlanok felmérése olyan folyamat, mely során az előzetes tervekhez képest jelentős módosítások is szükségesek lehetnek. </w:t>
      </w:r>
    </w:p>
    <w:p w:rsidR="008D00DA" w:rsidRDefault="008D00DA" w:rsidP="008D00DA">
      <w:pPr>
        <w:spacing w:line="360" w:lineRule="auto"/>
        <w:jc w:val="both"/>
      </w:pPr>
      <w:r>
        <w:t xml:space="preserve">A szolgáltatási portfólió és az ingatlan portfólió elkészültét követi a lakók egyéni kiváltási terve, (EKISZ-1) az új struktúrához illeszkedő intézményi HR-terv elkészítése, valamint minden érintett és fontos tényező ismeretében a kommunikációs terv összeállítása. </w:t>
      </w:r>
    </w:p>
    <w:p w:rsidR="008D00DA" w:rsidRDefault="008D00DA" w:rsidP="008D00DA">
      <w:pPr>
        <w:spacing w:line="360" w:lineRule="auto"/>
        <w:jc w:val="both"/>
      </w:pPr>
    </w:p>
    <w:p w:rsidR="008D00DA" w:rsidRDefault="008D00DA" w:rsidP="008D00DA">
      <w:pPr>
        <w:spacing w:line="360" w:lineRule="auto"/>
        <w:jc w:val="both"/>
      </w:pPr>
    </w:p>
    <w:p w:rsidR="008D00DA" w:rsidRDefault="008D00DA" w:rsidP="008D00DA">
      <w:pPr>
        <w:spacing w:line="360" w:lineRule="auto"/>
        <w:jc w:val="both"/>
        <w:rPr>
          <w:u w:val="single"/>
        </w:rPr>
      </w:pPr>
      <w:r>
        <w:rPr>
          <w:u w:val="single"/>
        </w:rPr>
        <w:t xml:space="preserve">Javaslatom a jövőbeni szolgáltatások működtetésére: </w:t>
      </w:r>
    </w:p>
    <w:p w:rsidR="008D00DA" w:rsidRDefault="008D00DA" w:rsidP="008D00DA">
      <w:pPr>
        <w:spacing w:line="360" w:lineRule="auto"/>
        <w:ind w:firstLine="708"/>
        <w:jc w:val="both"/>
        <w:rPr>
          <w:u w:val="single"/>
        </w:rPr>
      </w:pPr>
    </w:p>
    <w:p w:rsidR="008D00DA" w:rsidRDefault="008D00DA" w:rsidP="008D00DA">
      <w:pPr>
        <w:spacing w:line="360" w:lineRule="auto"/>
        <w:jc w:val="both"/>
      </w:pPr>
      <w:r>
        <w:t>Tiszavasvári Város Önkormányzata, mint fenntartó az elkövetkező években pályázati támogatással kívánja a támogatott lakhatást, mint új szolgáltatást bevezetni.</w:t>
      </w:r>
    </w:p>
    <w:p w:rsidR="008D00DA" w:rsidRDefault="008D00DA" w:rsidP="008D00DA">
      <w:pPr>
        <w:pStyle w:val="cf0"/>
        <w:spacing w:before="0" w:beforeAutospacing="0" w:after="0" w:afterAutospacing="0" w:line="360" w:lineRule="auto"/>
        <w:jc w:val="both"/>
        <w:rPr>
          <w:i/>
        </w:rPr>
      </w:pPr>
      <w:r>
        <w:t xml:space="preserve">A </w:t>
      </w:r>
      <w:proofErr w:type="spellStart"/>
      <w:r>
        <w:t>Szoc.tv</w:t>
      </w:r>
      <w:proofErr w:type="spellEnd"/>
      <w:r>
        <w:t xml:space="preserve"> </w:t>
      </w:r>
      <w:r>
        <w:rPr>
          <w:b/>
          <w:bCs/>
        </w:rPr>
        <w:t xml:space="preserve">129. § </w:t>
      </w:r>
      <w:r>
        <w:rPr>
          <w:i/>
        </w:rPr>
        <w:t xml:space="preserve">Fogyatékos személyek ápolást-gondozást nyújtó intézményeinek </w:t>
      </w:r>
      <w:r>
        <w:rPr>
          <w:i/>
          <w:u w:val="single"/>
        </w:rPr>
        <w:t>címzett támogatással történő beruházása esetén</w:t>
      </w:r>
      <w:r>
        <w:rPr>
          <w:b/>
          <w:i/>
        </w:rPr>
        <w:t xml:space="preserve"> kizárólag az ötven főnél nagyobb</w:t>
      </w:r>
      <w:r>
        <w:rPr>
          <w:i/>
        </w:rPr>
        <w:t xml:space="preserve"> férőhelyszámú intézmény kiváltása támogatható. </w:t>
      </w:r>
    </w:p>
    <w:p w:rsidR="008D00DA" w:rsidRDefault="008D00DA" w:rsidP="008D00DA">
      <w:pPr>
        <w:pStyle w:val="cf0"/>
        <w:spacing w:before="0" w:beforeAutospacing="0" w:after="0" w:afterAutospacing="0" w:line="360" w:lineRule="auto"/>
        <w:jc w:val="both"/>
        <w:rPr>
          <w:i/>
        </w:rPr>
      </w:pPr>
    </w:p>
    <w:p w:rsidR="008D00DA" w:rsidRDefault="008D00DA" w:rsidP="008D00DA">
      <w:pPr>
        <w:spacing w:line="360" w:lineRule="auto"/>
        <w:jc w:val="both"/>
        <w:rPr>
          <w:b/>
        </w:rPr>
      </w:pPr>
      <w:r>
        <w:rPr>
          <w:b/>
        </w:rPr>
        <w:t>Jelenlegi stratégia 5 évre készül.  Amennyiben 2020. december 31-ig nem nyújt be pályázatot a fenntartó a kiváltás érdekében, a stratégia felülvizsgálata szükséges.</w:t>
      </w:r>
    </w:p>
    <w:p w:rsidR="008D00DA" w:rsidRDefault="008D00DA" w:rsidP="008D00DA">
      <w:pPr>
        <w:spacing w:line="360" w:lineRule="auto"/>
        <w:jc w:val="both"/>
        <w:rPr>
          <w:b/>
          <w:u w:val="single"/>
        </w:rPr>
      </w:pPr>
    </w:p>
    <w:p w:rsidR="008D00DA" w:rsidRDefault="008D00DA" w:rsidP="008D00DA">
      <w:pPr>
        <w:spacing w:line="360" w:lineRule="auto"/>
        <w:jc w:val="both"/>
      </w:pPr>
      <w:r>
        <w:t xml:space="preserve">A jelenleg kérelmezett,- folyamatban lévő - működési engedélyeztetés után 69 fogyatékos személy ápoló-gondozó otthoni férőhely részleges kiváltása megvalósul, min. 12, </w:t>
      </w:r>
      <w:proofErr w:type="spellStart"/>
      <w:r>
        <w:t>max</w:t>
      </w:r>
      <w:proofErr w:type="spellEnd"/>
      <w:r>
        <w:t xml:space="preserve">. 36 fő esetében. </w:t>
      </w:r>
    </w:p>
    <w:p w:rsidR="008D00DA" w:rsidRDefault="008D00DA" w:rsidP="008D00DA">
      <w:pPr>
        <w:spacing w:line="360" w:lineRule="auto"/>
        <w:jc w:val="both"/>
      </w:pPr>
      <w:r>
        <w:t>A fennmaradó 33 férőhelyszám egyéb szolgáltatás nyújtása érdekében lenne biztosított, rehabilitációs intézményi egységként.</w:t>
      </w:r>
    </w:p>
    <w:p w:rsidR="008D00DA" w:rsidRDefault="008D00DA" w:rsidP="008D00DA">
      <w:pPr>
        <w:spacing w:line="360" w:lineRule="auto"/>
        <w:jc w:val="both"/>
      </w:pPr>
      <w:r>
        <w:t xml:space="preserve">A támogatott lakhatás működhet az intézmény keretein belül önállóan, vagy szervezetileg is önállóan (KFT. </w:t>
      </w:r>
      <w:proofErr w:type="gramStart"/>
      <w:r>
        <w:t>vagy</w:t>
      </w:r>
      <w:proofErr w:type="gramEnd"/>
      <w:r>
        <w:t xml:space="preserve"> intézményi formában).</w:t>
      </w:r>
    </w:p>
    <w:p w:rsidR="008D00DA" w:rsidRDefault="008D00DA" w:rsidP="008D00DA">
      <w:pPr>
        <w:spacing w:line="360" w:lineRule="auto"/>
        <w:jc w:val="both"/>
      </w:pPr>
      <w:r>
        <w:t>A támogatott lakhatás házai között kapcsolat, és a szükséges szolgáltatások közvetítése, szervezés, ellenőrzése a TL koordinátor feladata lesz.</w:t>
      </w:r>
    </w:p>
    <w:p w:rsidR="008D00DA" w:rsidRDefault="008D00DA" w:rsidP="008D00DA">
      <w:pPr>
        <w:spacing w:line="360" w:lineRule="auto"/>
        <w:jc w:val="both"/>
      </w:pPr>
      <w:r>
        <w:t>Minden 12 fős támogatott lakhatásnak lesz egy esetfelelőse. Emellett működne egy terápiás munkacsoport, amely mindegyik ház részére nyújtana szolgáltatást.</w:t>
      </w:r>
    </w:p>
    <w:p w:rsidR="008D00DA" w:rsidRDefault="008D00DA" w:rsidP="008D00DA">
      <w:pPr>
        <w:spacing w:line="360" w:lineRule="auto"/>
        <w:ind w:left="708"/>
        <w:jc w:val="both"/>
      </w:pPr>
    </w:p>
    <w:p w:rsidR="008D00DA" w:rsidRDefault="008D00DA" w:rsidP="008D00DA">
      <w:pPr>
        <w:spacing w:line="360" w:lineRule="auto"/>
        <w:ind w:left="708"/>
        <w:jc w:val="both"/>
      </w:pPr>
      <w:r>
        <w:lastRenderedPageBreak/>
        <w:t xml:space="preserve">A) </w:t>
      </w:r>
      <w:proofErr w:type="spellStart"/>
      <w:r>
        <w:t>Kornisné</w:t>
      </w:r>
      <w:proofErr w:type="spellEnd"/>
      <w:r>
        <w:t xml:space="preserve"> Központ biztosítja majd:</w:t>
      </w:r>
    </w:p>
    <w:p w:rsidR="008D00DA" w:rsidRDefault="008D00DA" w:rsidP="008D00DA">
      <w:pPr>
        <w:spacing w:line="360" w:lineRule="auto"/>
        <w:ind w:left="708"/>
        <w:jc w:val="both"/>
      </w:pPr>
      <w:r>
        <w:t xml:space="preserve">támogató szolgálat (személyi </w:t>
      </w:r>
      <w:proofErr w:type="gramStart"/>
      <w:r>
        <w:t>segítés- szállítás</w:t>
      </w:r>
      <w:proofErr w:type="gramEnd"/>
      <w:r>
        <w:t>)</w:t>
      </w:r>
    </w:p>
    <w:p w:rsidR="008D00DA" w:rsidRDefault="008D00DA" w:rsidP="008D00DA">
      <w:pPr>
        <w:spacing w:line="360" w:lineRule="auto"/>
        <w:ind w:left="708"/>
        <w:jc w:val="both"/>
      </w:pPr>
      <w:proofErr w:type="gramStart"/>
      <w:r>
        <w:t>nappali</w:t>
      </w:r>
      <w:proofErr w:type="gramEnd"/>
      <w:r>
        <w:t xml:space="preserve"> ellátás-fogyatékos személyek klubja</w:t>
      </w:r>
    </w:p>
    <w:p w:rsidR="008D00DA" w:rsidRDefault="008D00DA" w:rsidP="008D00DA">
      <w:pPr>
        <w:spacing w:line="360" w:lineRule="auto"/>
        <w:ind w:left="708"/>
        <w:jc w:val="both"/>
      </w:pPr>
      <w:proofErr w:type="gramStart"/>
      <w:r>
        <w:t>étkeztetés</w:t>
      </w:r>
      <w:proofErr w:type="gramEnd"/>
    </w:p>
    <w:p w:rsidR="008D00DA" w:rsidRDefault="008D00DA" w:rsidP="008D00DA">
      <w:pPr>
        <w:spacing w:line="360" w:lineRule="auto"/>
        <w:ind w:left="708"/>
        <w:jc w:val="both"/>
      </w:pPr>
      <w:proofErr w:type="gramStart"/>
      <w:r>
        <w:t>szakápolás</w:t>
      </w:r>
      <w:proofErr w:type="gramEnd"/>
    </w:p>
    <w:p w:rsidR="008D00DA" w:rsidRDefault="008D00DA" w:rsidP="008D00DA">
      <w:pPr>
        <w:spacing w:line="360" w:lineRule="auto"/>
        <w:ind w:left="708"/>
        <w:jc w:val="both"/>
      </w:pPr>
      <w:proofErr w:type="gramStart"/>
      <w:r>
        <w:t>család</w:t>
      </w:r>
      <w:proofErr w:type="gramEnd"/>
      <w:r>
        <w:t xml:space="preserve"> és gyermekjóléti központ</w:t>
      </w:r>
    </w:p>
    <w:p w:rsidR="008D00DA" w:rsidRDefault="008D00DA" w:rsidP="008D00DA">
      <w:pPr>
        <w:spacing w:line="360" w:lineRule="auto"/>
        <w:ind w:left="708"/>
        <w:jc w:val="both"/>
      </w:pPr>
      <w:proofErr w:type="gramStart"/>
      <w:r>
        <w:t>jelzőrendszeres</w:t>
      </w:r>
      <w:proofErr w:type="gramEnd"/>
      <w:r>
        <w:t xml:space="preserve"> segítségnyújtás</w:t>
      </w:r>
    </w:p>
    <w:p w:rsidR="008D00DA" w:rsidRDefault="008D00DA" w:rsidP="008D00DA">
      <w:pPr>
        <w:spacing w:line="360" w:lineRule="auto"/>
        <w:ind w:left="708"/>
        <w:jc w:val="both"/>
      </w:pPr>
    </w:p>
    <w:p w:rsidR="008D00DA" w:rsidRDefault="008D00DA" w:rsidP="008D00DA">
      <w:pPr>
        <w:spacing w:line="360" w:lineRule="auto"/>
        <w:ind w:left="708"/>
        <w:jc w:val="both"/>
      </w:pPr>
      <w:r>
        <w:t>B) Terveink szerint a TELSE, mint jelenlegi fejlesztő foglalkoztató biztosítaná a majdani lakók foglalkoztatását.</w:t>
      </w:r>
    </w:p>
    <w:p w:rsidR="008D00DA" w:rsidRDefault="008D00DA" w:rsidP="008D00DA">
      <w:pPr>
        <w:spacing w:line="360" w:lineRule="auto"/>
        <w:jc w:val="both"/>
      </w:pPr>
    </w:p>
    <w:p w:rsidR="008D00DA" w:rsidRDefault="008D00DA" w:rsidP="008D00DA">
      <w:pPr>
        <w:spacing w:line="360" w:lineRule="auto"/>
        <w:jc w:val="both"/>
      </w:pPr>
    </w:p>
    <w:p w:rsidR="008D00DA" w:rsidRDefault="008D00DA" w:rsidP="008D00DA">
      <w:pPr>
        <w:spacing w:line="360" w:lineRule="auto"/>
        <w:jc w:val="both"/>
      </w:pPr>
      <w:r>
        <w:t>Kérem a fentieket figyelembe véve a Képviselő- Testület legyen szíves a soron következő ülésén a stratégiát megtárgyalni, és elfogadni szíveskedjenek.</w:t>
      </w:r>
    </w:p>
    <w:p w:rsidR="008D00DA" w:rsidRDefault="008D00DA" w:rsidP="008D00DA">
      <w:pPr>
        <w:spacing w:line="360" w:lineRule="auto"/>
        <w:jc w:val="both"/>
      </w:pPr>
    </w:p>
    <w:p w:rsidR="008D00DA" w:rsidRDefault="008D00DA" w:rsidP="008D00DA">
      <w:pPr>
        <w:spacing w:line="360" w:lineRule="auto"/>
        <w:jc w:val="both"/>
      </w:pPr>
      <w:r>
        <w:t>Tiszavasvári, 2018. december 12.                              Tisztelettel</w:t>
      </w:r>
    </w:p>
    <w:p w:rsidR="008D00DA" w:rsidRDefault="008D00DA" w:rsidP="008D00DA">
      <w:pPr>
        <w:spacing w:line="360" w:lineRule="auto"/>
        <w:jc w:val="both"/>
      </w:pPr>
    </w:p>
    <w:p w:rsidR="008D00DA" w:rsidRDefault="008D00DA" w:rsidP="008D00DA">
      <w:pPr>
        <w:spacing w:line="360" w:lineRule="auto"/>
        <w:jc w:val="right"/>
      </w:pPr>
      <w:proofErr w:type="spellStart"/>
      <w:r>
        <w:t>Nácsáné</w:t>
      </w:r>
      <w:proofErr w:type="spellEnd"/>
      <w:r>
        <w:t xml:space="preserve"> Dr. </w:t>
      </w:r>
      <w:proofErr w:type="spellStart"/>
      <w:r>
        <w:t>Kalán</w:t>
      </w:r>
      <w:proofErr w:type="spellEnd"/>
      <w:r>
        <w:t xml:space="preserve"> Eszter</w:t>
      </w:r>
    </w:p>
    <w:p w:rsidR="008D00DA" w:rsidRDefault="008D00DA" w:rsidP="008D00DA">
      <w:pPr>
        <w:spacing w:line="360" w:lineRule="auto"/>
        <w:jc w:val="both"/>
      </w:pPr>
    </w:p>
    <w:p w:rsidR="008D00DA" w:rsidRDefault="008D00DA" w:rsidP="008D00DA">
      <w:pPr>
        <w:spacing w:line="360" w:lineRule="auto"/>
        <w:jc w:val="both"/>
      </w:pPr>
    </w:p>
    <w:p w:rsidR="008D00DA" w:rsidRDefault="008D00DA" w:rsidP="008D00DA">
      <w:pPr>
        <w:spacing w:line="360" w:lineRule="auto"/>
        <w:jc w:val="both"/>
      </w:pPr>
    </w:p>
    <w:p w:rsidR="008D00DA" w:rsidRDefault="008D00DA" w:rsidP="008D00DA">
      <w:pPr>
        <w:spacing w:line="360" w:lineRule="auto"/>
        <w:jc w:val="both"/>
      </w:pPr>
    </w:p>
    <w:p w:rsidR="008D00DA" w:rsidRDefault="008D00DA" w:rsidP="008D00DA">
      <w:pPr>
        <w:spacing w:line="360" w:lineRule="auto"/>
        <w:jc w:val="both"/>
      </w:pPr>
    </w:p>
    <w:p w:rsidR="008D00DA" w:rsidRDefault="008D00DA" w:rsidP="008D00DA">
      <w:pPr>
        <w:spacing w:line="360" w:lineRule="auto"/>
        <w:jc w:val="both"/>
      </w:pPr>
    </w:p>
    <w:p w:rsidR="008D00DA" w:rsidRDefault="008D00DA" w:rsidP="008D00DA">
      <w:pPr>
        <w:spacing w:line="360" w:lineRule="auto"/>
        <w:jc w:val="both"/>
      </w:pPr>
    </w:p>
    <w:p w:rsidR="008D00DA" w:rsidRDefault="008D00DA" w:rsidP="008D00DA">
      <w:pPr>
        <w:spacing w:line="360" w:lineRule="auto"/>
        <w:jc w:val="both"/>
      </w:pPr>
    </w:p>
    <w:p w:rsidR="008D00DA" w:rsidRDefault="008D00DA" w:rsidP="008D00DA">
      <w:pPr>
        <w:spacing w:line="360" w:lineRule="auto"/>
        <w:jc w:val="both"/>
      </w:pPr>
    </w:p>
    <w:p w:rsidR="008D00DA" w:rsidRDefault="008D00DA" w:rsidP="008D00DA">
      <w:pPr>
        <w:spacing w:line="360" w:lineRule="auto"/>
        <w:jc w:val="both"/>
      </w:pPr>
    </w:p>
    <w:p w:rsidR="008D00DA" w:rsidRDefault="008D00DA" w:rsidP="008D00DA">
      <w:pPr>
        <w:spacing w:line="360" w:lineRule="auto"/>
        <w:jc w:val="both"/>
      </w:pPr>
      <w:bookmarkStart w:id="0" w:name="_GoBack"/>
      <w:bookmarkEnd w:id="0"/>
    </w:p>
    <w:sectPr w:rsidR="008D00D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0DA" w:rsidRDefault="008D00DA" w:rsidP="008D00DA">
      <w:r>
        <w:separator/>
      </w:r>
    </w:p>
  </w:endnote>
  <w:endnote w:type="continuationSeparator" w:id="0">
    <w:p w:rsidR="008D00DA" w:rsidRDefault="008D00DA" w:rsidP="008D0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46D" w:rsidRDefault="008D00DA">
    <w:pPr>
      <w:pStyle w:val="ll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C60A9">
      <w:rPr>
        <w:noProof/>
      </w:rPr>
      <w:t>4</w:t>
    </w:r>
    <w:r>
      <w:fldChar w:fldCharType="end"/>
    </w:r>
  </w:p>
  <w:p w:rsidR="00D2446D" w:rsidRDefault="006C60A9">
    <w:pPr>
      <w:pStyle w:val="llb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0DA" w:rsidRDefault="008D00DA" w:rsidP="008D00DA">
      <w:r>
        <w:separator/>
      </w:r>
    </w:p>
  </w:footnote>
  <w:footnote w:type="continuationSeparator" w:id="0">
    <w:p w:rsidR="008D00DA" w:rsidRDefault="008D00DA" w:rsidP="008D00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46D" w:rsidRDefault="008D00DA">
    <w:pPr>
      <w:pStyle w:val="lfej"/>
      <w:rPr>
        <w:b/>
        <w:color w:val="000000"/>
        <w:sz w:val="22"/>
        <w:szCs w:val="22"/>
      </w:rPr>
    </w:pPr>
    <w:r>
      <w:rPr>
        <w:b/>
        <w:noProof/>
        <w:color w:val="000000"/>
        <w:sz w:val="22"/>
        <w:szCs w:val="22"/>
        <w:lang w:val="hu-HU" w:eastAsia="hu-HU"/>
      </w:rPr>
      <w:drawing>
        <wp:anchor distT="0" distB="0" distL="114300" distR="114300" simplePos="0" relativeHeight="251659264" behindDoc="1" locked="0" layoutInCell="1" allowOverlap="1" wp14:anchorId="0CF7404F" wp14:editId="046AC0E3">
          <wp:simplePos x="0" y="0"/>
          <wp:positionH relativeFrom="column">
            <wp:posOffset>5217795</wp:posOffset>
          </wp:positionH>
          <wp:positionV relativeFrom="paragraph">
            <wp:posOffset>109855</wp:posOffset>
          </wp:positionV>
          <wp:extent cx="781050" cy="783590"/>
          <wp:effectExtent l="0" t="0" r="0" b="0"/>
          <wp:wrapTight wrapText="bothSides">
            <wp:wrapPolygon edited="0">
              <wp:start x="0" y="0"/>
              <wp:lineTo x="0" y="21005"/>
              <wp:lineTo x="21073" y="21005"/>
              <wp:lineTo x="21073" y="0"/>
              <wp:lineTo x="0" y="0"/>
            </wp:wrapPolygon>
          </wp:wrapTight>
          <wp:docPr id="3" name="Kép 3" descr="TIS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ISZ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783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2446D" w:rsidRDefault="008D00DA">
    <w:pPr>
      <w:pStyle w:val="Cmsor1"/>
      <w:jc w:val="both"/>
      <w:rPr>
        <w:sz w:val="22"/>
        <w:szCs w:val="22"/>
        <w:u w:val="none"/>
      </w:rPr>
    </w:pPr>
    <w:proofErr w:type="spellStart"/>
    <w:r>
      <w:rPr>
        <w:sz w:val="22"/>
        <w:szCs w:val="22"/>
        <w:u w:val="none"/>
      </w:rPr>
      <w:t>Kornisné</w:t>
    </w:r>
    <w:proofErr w:type="spellEnd"/>
    <w:r>
      <w:rPr>
        <w:sz w:val="22"/>
        <w:szCs w:val="22"/>
        <w:u w:val="none"/>
      </w:rPr>
      <w:t xml:space="preserve"> </w:t>
    </w:r>
    <w:proofErr w:type="spellStart"/>
    <w:r>
      <w:rPr>
        <w:sz w:val="22"/>
        <w:szCs w:val="22"/>
        <w:u w:val="none"/>
      </w:rPr>
      <w:t>Liptay</w:t>
    </w:r>
    <w:proofErr w:type="spellEnd"/>
    <w:r>
      <w:rPr>
        <w:sz w:val="22"/>
        <w:szCs w:val="22"/>
        <w:u w:val="none"/>
      </w:rPr>
      <w:t xml:space="preserve"> Elza Szociális és Gyermekjóléti Központ</w:t>
    </w:r>
    <w:r>
      <w:rPr>
        <w:sz w:val="22"/>
        <w:szCs w:val="22"/>
        <w:u w:val="none"/>
      </w:rPr>
      <w:tab/>
    </w:r>
    <w:r>
      <w:rPr>
        <w:sz w:val="22"/>
        <w:szCs w:val="22"/>
        <w:u w:val="none"/>
      </w:rPr>
      <w:tab/>
    </w:r>
    <w:r>
      <w:rPr>
        <w:sz w:val="22"/>
        <w:szCs w:val="22"/>
        <w:u w:val="none"/>
      </w:rPr>
      <w:tab/>
    </w:r>
    <w:r>
      <w:rPr>
        <w:sz w:val="22"/>
        <w:szCs w:val="22"/>
        <w:u w:val="none"/>
      </w:rPr>
      <w:tab/>
    </w:r>
  </w:p>
  <w:p w:rsidR="00D2446D" w:rsidRDefault="008D00DA">
    <w:pPr>
      <w:pStyle w:val="Cmsor1"/>
      <w:jc w:val="both"/>
      <w:rPr>
        <w:sz w:val="22"/>
        <w:szCs w:val="22"/>
        <w:u w:val="none"/>
      </w:rPr>
    </w:pPr>
    <w:r>
      <w:rPr>
        <w:sz w:val="22"/>
        <w:szCs w:val="22"/>
        <w:u w:val="none"/>
      </w:rPr>
      <w:t>4440 Tiszavasvári, Vasvári Pál út 87.</w:t>
    </w:r>
    <w:r>
      <w:rPr>
        <w:noProof/>
        <w:sz w:val="22"/>
        <w:szCs w:val="22"/>
      </w:rPr>
      <w:t xml:space="preserve"> </w:t>
    </w:r>
  </w:p>
  <w:p w:rsidR="00D2446D" w:rsidRDefault="008D00DA">
    <w:pPr>
      <w:jc w:val="both"/>
      <w:rPr>
        <w:b/>
        <w:sz w:val="22"/>
        <w:szCs w:val="22"/>
      </w:rPr>
    </w:pPr>
    <w:r>
      <w:rPr>
        <w:b/>
        <w:sz w:val="22"/>
        <w:szCs w:val="22"/>
      </w:rPr>
      <w:t>Tel</w:t>
    </w:r>
    <w:proofErr w:type="gramStart"/>
    <w:r>
      <w:rPr>
        <w:b/>
        <w:sz w:val="22"/>
        <w:szCs w:val="22"/>
      </w:rPr>
      <w:t>.:</w:t>
    </w:r>
    <w:proofErr w:type="gramEnd"/>
    <w:r>
      <w:rPr>
        <w:b/>
        <w:sz w:val="22"/>
        <w:szCs w:val="22"/>
      </w:rPr>
      <w:t xml:space="preserve"> 42/520-002, 520-003, 520-025, </w:t>
    </w:r>
    <w:r>
      <w:rPr>
        <w:b/>
        <w:bCs/>
        <w:sz w:val="22"/>
        <w:szCs w:val="22"/>
      </w:rPr>
      <w:t>Fax:</w:t>
    </w:r>
    <w:r>
      <w:rPr>
        <w:b/>
        <w:sz w:val="22"/>
        <w:szCs w:val="22"/>
      </w:rPr>
      <w:t xml:space="preserve"> 42/ 520-026</w:t>
    </w:r>
  </w:p>
  <w:p w:rsidR="00D2446D" w:rsidRDefault="008D00DA">
    <w:pPr>
      <w:jc w:val="both"/>
      <w:rPr>
        <w:b/>
        <w:sz w:val="22"/>
        <w:szCs w:val="22"/>
      </w:rPr>
    </w:pPr>
    <w:r>
      <w:rPr>
        <w:b/>
        <w:sz w:val="22"/>
        <w:szCs w:val="22"/>
      </w:rPr>
      <w:t xml:space="preserve">E-mail: </w:t>
    </w:r>
    <w:proofErr w:type="spellStart"/>
    <w:proofErr w:type="gramStart"/>
    <w:r>
      <w:rPr>
        <w:b/>
        <w:sz w:val="22"/>
        <w:szCs w:val="22"/>
      </w:rPr>
      <w:t>szeszk</w:t>
    </w:r>
    <w:proofErr w:type="spellEnd"/>
    <w:r>
      <w:rPr>
        <w:b/>
        <w:sz w:val="22"/>
        <w:szCs w:val="22"/>
      </w:rPr>
      <w:t>@gmail.com  Adószám</w:t>
    </w:r>
    <w:proofErr w:type="gramEnd"/>
    <w:r>
      <w:rPr>
        <w:b/>
        <w:sz w:val="22"/>
        <w:szCs w:val="22"/>
      </w:rPr>
      <w:t xml:space="preserve">: 15815154-2-15                </w:t>
    </w:r>
  </w:p>
  <w:p w:rsidR="00D2446D" w:rsidRDefault="006C60A9">
    <w:pPr>
      <w:pStyle w:val="lfej"/>
      <w:rPr>
        <w:lang w:val="hu-HU"/>
      </w:rPr>
    </w:pPr>
  </w:p>
  <w:tbl>
    <w:tblPr>
      <w:tblW w:w="9844" w:type="dxa"/>
      <w:tblInd w:w="-356" w:type="dxa"/>
      <w:tblBorders>
        <w:bottom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683"/>
      <w:gridCol w:w="3161"/>
    </w:tblGrid>
    <w:tr w:rsidR="00D2446D">
      <w:trPr>
        <w:trHeight w:hRule="exact" w:val="80"/>
      </w:trPr>
      <w:tc>
        <w:tcPr>
          <w:tcW w:w="6683" w:type="dxa"/>
        </w:tcPr>
        <w:p w:rsidR="00D2446D" w:rsidRDefault="006C60A9">
          <w:pPr>
            <w:jc w:val="both"/>
            <w:rPr>
              <w:b/>
            </w:rPr>
          </w:pPr>
        </w:p>
      </w:tc>
      <w:tc>
        <w:tcPr>
          <w:tcW w:w="3161" w:type="dxa"/>
        </w:tcPr>
        <w:p w:rsidR="00D2446D" w:rsidRDefault="006C60A9">
          <w:pPr>
            <w:jc w:val="right"/>
            <w:rPr>
              <w:b/>
              <w:sz w:val="28"/>
            </w:rPr>
          </w:pPr>
        </w:p>
      </w:tc>
    </w:tr>
  </w:tbl>
  <w:p w:rsidR="00D2446D" w:rsidRDefault="006C60A9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06282"/>
    <w:multiLevelType w:val="hybridMultilevel"/>
    <w:tmpl w:val="DADE0BE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12BF1"/>
    <w:multiLevelType w:val="hybridMultilevel"/>
    <w:tmpl w:val="E52EBCEC"/>
    <w:lvl w:ilvl="0" w:tplc="38C8D4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A280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06DF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2E6B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F43A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302D9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48E2E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F82D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8A51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1A494C"/>
    <w:multiLevelType w:val="hybridMultilevel"/>
    <w:tmpl w:val="739811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2C3782"/>
    <w:multiLevelType w:val="hybridMultilevel"/>
    <w:tmpl w:val="B98019B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C28428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4A3389"/>
    <w:multiLevelType w:val="multilevel"/>
    <w:tmpl w:val="D83610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u w:val="single"/>
      </w:rPr>
    </w:lvl>
  </w:abstractNum>
  <w:abstractNum w:abstractNumId="5">
    <w:nsid w:val="223A5252"/>
    <w:multiLevelType w:val="hybridMultilevel"/>
    <w:tmpl w:val="CB7AB0F0"/>
    <w:lvl w:ilvl="0" w:tplc="B6C4ED9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72670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7283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28057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7213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17672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DA92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5E08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DC4F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1E25DE"/>
    <w:multiLevelType w:val="hybridMultilevel"/>
    <w:tmpl w:val="ECD8D5C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6E7116"/>
    <w:multiLevelType w:val="hybridMultilevel"/>
    <w:tmpl w:val="37FE7AC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D704DA"/>
    <w:multiLevelType w:val="hybridMultilevel"/>
    <w:tmpl w:val="971ED04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2E4B7C"/>
    <w:multiLevelType w:val="hybridMultilevel"/>
    <w:tmpl w:val="41DAAC9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26B3526"/>
    <w:multiLevelType w:val="hybridMultilevel"/>
    <w:tmpl w:val="47E0E6F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CA117F"/>
    <w:multiLevelType w:val="hybridMultilevel"/>
    <w:tmpl w:val="C096D630"/>
    <w:lvl w:ilvl="0" w:tplc="EEBE92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CC20E8"/>
    <w:multiLevelType w:val="hybridMultilevel"/>
    <w:tmpl w:val="8EB2B66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983733"/>
    <w:multiLevelType w:val="hybridMultilevel"/>
    <w:tmpl w:val="47480DE4"/>
    <w:lvl w:ilvl="0" w:tplc="C8A8531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3AB1677"/>
    <w:multiLevelType w:val="hybridMultilevel"/>
    <w:tmpl w:val="712659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374BB2"/>
    <w:multiLevelType w:val="hybridMultilevel"/>
    <w:tmpl w:val="558C719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6E66C2B"/>
    <w:multiLevelType w:val="hybridMultilevel"/>
    <w:tmpl w:val="F34A0CFC"/>
    <w:lvl w:ilvl="0" w:tplc="CBF29B5E">
      <w:start w:val="20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D030354"/>
    <w:multiLevelType w:val="hybridMultilevel"/>
    <w:tmpl w:val="FCD2B9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FC1334"/>
    <w:multiLevelType w:val="hybridMultilevel"/>
    <w:tmpl w:val="DD2210B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6C6B0F1D"/>
    <w:multiLevelType w:val="hybridMultilevel"/>
    <w:tmpl w:val="E392F67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D02295D"/>
    <w:multiLevelType w:val="hybridMultilevel"/>
    <w:tmpl w:val="47FE7022"/>
    <w:lvl w:ilvl="0" w:tplc="281AC5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67AA4"/>
    <w:multiLevelType w:val="hybridMultilevel"/>
    <w:tmpl w:val="57F83A02"/>
    <w:lvl w:ilvl="0" w:tplc="B6C4ED9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FE8784C"/>
    <w:multiLevelType w:val="hybridMultilevel"/>
    <w:tmpl w:val="82A6819E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71D5D28"/>
    <w:multiLevelType w:val="hybridMultilevel"/>
    <w:tmpl w:val="0CC06A54"/>
    <w:lvl w:ilvl="0" w:tplc="040E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79563242"/>
    <w:multiLevelType w:val="hybridMultilevel"/>
    <w:tmpl w:val="BA76E5E4"/>
    <w:lvl w:ilvl="0" w:tplc="D4C057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7"/>
  </w:num>
  <w:num w:numId="3">
    <w:abstractNumId w:val="3"/>
  </w:num>
  <w:num w:numId="4">
    <w:abstractNumId w:val="13"/>
  </w:num>
  <w:num w:numId="5">
    <w:abstractNumId w:val="23"/>
  </w:num>
  <w:num w:numId="6">
    <w:abstractNumId w:val="15"/>
  </w:num>
  <w:num w:numId="7">
    <w:abstractNumId w:val="16"/>
  </w:num>
  <w:num w:numId="8">
    <w:abstractNumId w:val="19"/>
  </w:num>
  <w:num w:numId="9">
    <w:abstractNumId w:val="7"/>
  </w:num>
  <w:num w:numId="10">
    <w:abstractNumId w:val="9"/>
  </w:num>
  <w:num w:numId="11">
    <w:abstractNumId w:val="10"/>
  </w:num>
  <w:num w:numId="12">
    <w:abstractNumId w:val="1"/>
  </w:num>
  <w:num w:numId="13">
    <w:abstractNumId w:val="21"/>
  </w:num>
  <w:num w:numId="14">
    <w:abstractNumId w:val="5"/>
  </w:num>
  <w:num w:numId="15">
    <w:abstractNumId w:val="12"/>
  </w:num>
  <w:num w:numId="16">
    <w:abstractNumId w:val="18"/>
  </w:num>
  <w:num w:numId="17">
    <w:abstractNumId w:val="14"/>
  </w:num>
  <w:num w:numId="18">
    <w:abstractNumId w:val="20"/>
  </w:num>
  <w:num w:numId="19">
    <w:abstractNumId w:val="4"/>
  </w:num>
  <w:num w:numId="20">
    <w:abstractNumId w:val="2"/>
  </w:num>
  <w:num w:numId="21">
    <w:abstractNumId w:val="8"/>
  </w:num>
  <w:num w:numId="22">
    <w:abstractNumId w:val="6"/>
  </w:num>
  <w:num w:numId="23">
    <w:abstractNumId w:val="22"/>
  </w:num>
  <w:num w:numId="24">
    <w:abstractNumId w:val="0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0DA"/>
    <w:rsid w:val="0005726C"/>
    <w:rsid w:val="003051F1"/>
    <w:rsid w:val="006C60A9"/>
    <w:rsid w:val="008D00DA"/>
    <w:rsid w:val="00B3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D00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8D00DA"/>
    <w:pPr>
      <w:keepNext/>
      <w:outlineLvl w:val="0"/>
    </w:pPr>
    <w:rPr>
      <w:b/>
      <w:u w:val="single"/>
    </w:rPr>
  </w:style>
  <w:style w:type="paragraph" w:styleId="Cmsor2">
    <w:name w:val="heading 2"/>
    <w:basedOn w:val="Norml"/>
    <w:next w:val="Norml"/>
    <w:link w:val="Cmsor2Char"/>
    <w:qFormat/>
    <w:rsid w:val="008D00DA"/>
    <w:pPr>
      <w:keepNext/>
      <w:spacing w:line="360" w:lineRule="auto"/>
      <w:outlineLvl w:val="1"/>
    </w:pPr>
    <w:rPr>
      <w:b/>
      <w:bCs/>
      <w:i/>
      <w:iCs/>
    </w:rPr>
  </w:style>
  <w:style w:type="paragraph" w:styleId="Cmsor3">
    <w:name w:val="heading 3"/>
    <w:basedOn w:val="Norml"/>
    <w:next w:val="Norml"/>
    <w:link w:val="Cmsor3Char"/>
    <w:qFormat/>
    <w:rsid w:val="008D00DA"/>
    <w:pPr>
      <w:keepNext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qFormat/>
    <w:rsid w:val="008D00DA"/>
    <w:pPr>
      <w:keepNext/>
      <w:spacing w:line="360" w:lineRule="auto"/>
      <w:jc w:val="center"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qFormat/>
    <w:rsid w:val="008D00DA"/>
    <w:pPr>
      <w:keepNext/>
      <w:spacing w:line="360" w:lineRule="auto"/>
      <w:jc w:val="both"/>
      <w:outlineLvl w:val="4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D00DA"/>
    <w:rPr>
      <w:rFonts w:ascii="Times New Roman" w:eastAsia="Times New Roman" w:hAnsi="Times New Roman" w:cs="Times New Roman"/>
      <w:b/>
      <w:sz w:val="24"/>
      <w:szCs w:val="24"/>
      <w:u w:val="single"/>
      <w:lang w:eastAsia="hu-HU"/>
    </w:rPr>
  </w:style>
  <w:style w:type="character" w:customStyle="1" w:styleId="Cmsor2Char">
    <w:name w:val="Címsor 2 Char"/>
    <w:basedOn w:val="Bekezdsalapbettpusa"/>
    <w:link w:val="Cmsor2"/>
    <w:rsid w:val="008D00DA"/>
    <w:rPr>
      <w:rFonts w:ascii="Times New Roman" w:eastAsia="Times New Roman" w:hAnsi="Times New Roman" w:cs="Times New Roman"/>
      <w:b/>
      <w:bCs/>
      <w:i/>
      <w:iCs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rsid w:val="008D00DA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rsid w:val="008D00DA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rsid w:val="008D00DA"/>
    <w:rPr>
      <w:rFonts w:ascii="Times New Roman" w:eastAsia="Times New Roman" w:hAnsi="Times New Roman" w:cs="Times New Roman"/>
      <w:b/>
      <w:bCs/>
      <w:sz w:val="24"/>
      <w:szCs w:val="24"/>
      <w:u w:val="single"/>
      <w:lang w:eastAsia="hu-HU"/>
    </w:rPr>
  </w:style>
  <w:style w:type="character" w:styleId="Hiperhivatkozs">
    <w:name w:val="Hyperlink"/>
    <w:semiHidden/>
    <w:rsid w:val="008D00DA"/>
    <w:rPr>
      <w:color w:val="0000FF"/>
      <w:u w:val="single"/>
    </w:rPr>
  </w:style>
  <w:style w:type="paragraph" w:styleId="Buborkszveg">
    <w:name w:val="Balloon Text"/>
    <w:basedOn w:val="Norml"/>
    <w:link w:val="BuborkszvegChar"/>
    <w:semiHidden/>
    <w:rsid w:val="008D00D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8D00DA"/>
    <w:rPr>
      <w:rFonts w:ascii="Tahoma" w:eastAsia="Times New Roman" w:hAnsi="Tahoma" w:cs="Tahoma"/>
      <w:sz w:val="16"/>
      <w:szCs w:val="16"/>
      <w:lang w:eastAsia="hu-HU"/>
    </w:rPr>
  </w:style>
  <w:style w:type="paragraph" w:styleId="Szvegtrzs">
    <w:name w:val="Body Text"/>
    <w:basedOn w:val="Norml"/>
    <w:link w:val="SzvegtrzsChar"/>
    <w:semiHidden/>
    <w:rsid w:val="008D00DA"/>
    <w:pPr>
      <w:jc w:val="both"/>
    </w:pPr>
  </w:style>
  <w:style w:type="character" w:customStyle="1" w:styleId="SzvegtrzsChar">
    <w:name w:val="Szövegtörzs Char"/>
    <w:basedOn w:val="Bekezdsalapbettpusa"/>
    <w:link w:val="Szvegtrzs"/>
    <w:semiHidden/>
    <w:rsid w:val="008D00D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semiHidden/>
    <w:unhideWhenUsed/>
    <w:rsid w:val="008D00D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semiHidden/>
    <w:rsid w:val="008D00D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lb">
    <w:name w:val="footer"/>
    <w:basedOn w:val="Norml"/>
    <w:link w:val="llbChar"/>
    <w:semiHidden/>
    <w:unhideWhenUsed/>
    <w:rsid w:val="008D00D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semiHidden/>
    <w:rsid w:val="008D00D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szerbekezds">
    <w:name w:val="List Paragraph"/>
    <w:basedOn w:val="Norml"/>
    <w:qFormat/>
    <w:rsid w:val="008D00DA"/>
    <w:pPr>
      <w:ind w:left="708"/>
    </w:pPr>
  </w:style>
  <w:style w:type="character" w:customStyle="1" w:styleId="apple-converted-space">
    <w:name w:val="apple-converted-space"/>
    <w:basedOn w:val="Bekezdsalapbettpusa"/>
    <w:rsid w:val="008D00DA"/>
  </w:style>
  <w:style w:type="character" w:styleId="Kiemels">
    <w:name w:val="Emphasis"/>
    <w:qFormat/>
    <w:rsid w:val="008D00DA"/>
    <w:rPr>
      <w:i/>
      <w:iCs/>
    </w:rPr>
  </w:style>
  <w:style w:type="paragraph" w:styleId="NormlWeb">
    <w:name w:val="Normal (Web)"/>
    <w:basedOn w:val="Norml"/>
    <w:semiHidden/>
    <w:rsid w:val="008D00DA"/>
    <w:pPr>
      <w:spacing w:before="100" w:beforeAutospacing="1" w:after="119"/>
    </w:pPr>
  </w:style>
  <w:style w:type="paragraph" w:customStyle="1" w:styleId="m8446492817344192103m551958002364862942gmail-m458636710895151759msolistparagraph">
    <w:name w:val="m_8446492817344192103m_551958002364862942gmail-m_458636710895151759msolistparagraph"/>
    <w:basedOn w:val="Norml"/>
    <w:rsid w:val="008D00DA"/>
    <w:pPr>
      <w:spacing w:before="100" w:beforeAutospacing="1" w:after="100" w:afterAutospacing="1"/>
    </w:pPr>
  </w:style>
  <w:style w:type="paragraph" w:customStyle="1" w:styleId="m8446492817344192103m551958002364862942gmail-m458636710895151759msolistparagraph0">
    <w:name w:val="m_8446492817344192103m_551958002364862942gmail-m458636710895151759msolistparagraph"/>
    <w:basedOn w:val="Norml"/>
    <w:rsid w:val="008D00DA"/>
    <w:pPr>
      <w:spacing w:before="100" w:beforeAutospacing="1" w:after="100" w:afterAutospacing="1"/>
    </w:pPr>
  </w:style>
  <w:style w:type="character" w:customStyle="1" w:styleId="m8446492817344192103m551958002364862942gmail-apple-converted-space">
    <w:name w:val="m_8446492817344192103m_551958002364862942gmail-apple-converted-space"/>
    <w:basedOn w:val="Bekezdsalapbettpusa"/>
    <w:rsid w:val="008D00DA"/>
  </w:style>
  <w:style w:type="paragraph" w:customStyle="1" w:styleId="cf0">
    <w:name w:val="cf0"/>
    <w:basedOn w:val="Norml"/>
    <w:rsid w:val="008D00DA"/>
    <w:pPr>
      <w:spacing w:before="100" w:beforeAutospacing="1" w:after="100" w:afterAutospacing="1"/>
    </w:pPr>
  </w:style>
  <w:style w:type="paragraph" w:customStyle="1" w:styleId="lead">
    <w:name w:val="lead"/>
    <w:basedOn w:val="Norml"/>
    <w:rsid w:val="008D00DA"/>
    <w:pPr>
      <w:spacing w:before="100" w:beforeAutospacing="1" w:after="100" w:afterAutospacing="1"/>
    </w:pPr>
  </w:style>
  <w:style w:type="paragraph" w:customStyle="1" w:styleId="Tblzattartalom">
    <w:name w:val="Táblázattartalom"/>
    <w:basedOn w:val="Norml"/>
    <w:rsid w:val="008D00DA"/>
    <w:pPr>
      <w:widowControl w:val="0"/>
      <w:suppressLineNumbers/>
      <w:suppressAutoHyphens/>
    </w:pPr>
    <w:rPr>
      <w:rFonts w:eastAsia="Lucida Sans Unicode" w:cs="Mangal"/>
      <w:kern w:val="1"/>
      <w:lang w:eastAsia="hi-IN" w:bidi="hi-IN"/>
    </w:rPr>
  </w:style>
  <w:style w:type="paragraph" w:customStyle="1" w:styleId="WW-NormlWeb">
    <w:name w:val="WW-Normál (Web)"/>
    <w:basedOn w:val="Norml"/>
    <w:rsid w:val="008D00DA"/>
    <w:pPr>
      <w:suppressAutoHyphens/>
      <w:spacing w:before="280" w:after="280"/>
      <w:jc w:val="both"/>
    </w:pPr>
    <w:rPr>
      <w:bCs/>
      <w:iCs/>
      <w:color w:val="000000"/>
      <w:lang w:eastAsia="ar-SA"/>
    </w:rPr>
  </w:style>
  <w:style w:type="paragraph" w:styleId="Lbjegyzetszveg">
    <w:name w:val="footnote text"/>
    <w:basedOn w:val="Norml"/>
    <w:link w:val="LbjegyzetszvegChar"/>
    <w:semiHidden/>
    <w:unhideWhenUsed/>
    <w:rsid w:val="008D00DA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D00DA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unhideWhenUsed/>
    <w:rsid w:val="008D00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D00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8D00DA"/>
    <w:pPr>
      <w:keepNext/>
      <w:outlineLvl w:val="0"/>
    </w:pPr>
    <w:rPr>
      <w:b/>
      <w:u w:val="single"/>
    </w:rPr>
  </w:style>
  <w:style w:type="paragraph" w:styleId="Cmsor2">
    <w:name w:val="heading 2"/>
    <w:basedOn w:val="Norml"/>
    <w:next w:val="Norml"/>
    <w:link w:val="Cmsor2Char"/>
    <w:qFormat/>
    <w:rsid w:val="008D00DA"/>
    <w:pPr>
      <w:keepNext/>
      <w:spacing w:line="360" w:lineRule="auto"/>
      <w:outlineLvl w:val="1"/>
    </w:pPr>
    <w:rPr>
      <w:b/>
      <w:bCs/>
      <w:i/>
      <w:iCs/>
    </w:rPr>
  </w:style>
  <w:style w:type="paragraph" w:styleId="Cmsor3">
    <w:name w:val="heading 3"/>
    <w:basedOn w:val="Norml"/>
    <w:next w:val="Norml"/>
    <w:link w:val="Cmsor3Char"/>
    <w:qFormat/>
    <w:rsid w:val="008D00DA"/>
    <w:pPr>
      <w:keepNext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qFormat/>
    <w:rsid w:val="008D00DA"/>
    <w:pPr>
      <w:keepNext/>
      <w:spacing w:line="360" w:lineRule="auto"/>
      <w:jc w:val="center"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qFormat/>
    <w:rsid w:val="008D00DA"/>
    <w:pPr>
      <w:keepNext/>
      <w:spacing w:line="360" w:lineRule="auto"/>
      <w:jc w:val="both"/>
      <w:outlineLvl w:val="4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D00DA"/>
    <w:rPr>
      <w:rFonts w:ascii="Times New Roman" w:eastAsia="Times New Roman" w:hAnsi="Times New Roman" w:cs="Times New Roman"/>
      <w:b/>
      <w:sz w:val="24"/>
      <w:szCs w:val="24"/>
      <w:u w:val="single"/>
      <w:lang w:eastAsia="hu-HU"/>
    </w:rPr>
  </w:style>
  <w:style w:type="character" w:customStyle="1" w:styleId="Cmsor2Char">
    <w:name w:val="Címsor 2 Char"/>
    <w:basedOn w:val="Bekezdsalapbettpusa"/>
    <w:link w:val="Cmsor2"/>
    <w:rsid w:val="008D00DA"/>
    <w:rPr>
      <w:rFonts w:ascii="Times New Roman" w:eastAsia="Times New Roman" w:hAnsi="Times New Roman" w:cs="Times New Roman"/>
      <w:b/>
      <w:bCs/>
      <w:i/>
      <w:iCs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rsid w:val="008D00DA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rsid w:val="008D00DA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rsid w:val="008D00DA"/>
    <w:rPr>
      <w:rFonts w:ascii="Times New Roman" w:eastAsia="Times New Roman" w:hAnsi="Times New Roman" w:cs="Times New Roman"/>
      <w:b/>
      <w:bCs/>
      <w:sz w:val="24"/>
      <w:szCs w:val="24"/>
      <w:u w:val="single"/>
      <w:lang w:eastAsia="hu-HU"/>
    </w:rPr>
  </w:style>
  <w:style w:type="character" w:styleId="Hiperhivatkozs">
    <w:name w:val="Hyperlink"/>
    <w:semiHidden/>
    <w:rsid w:val="008D00DA"/>
    <w:rPr>
      <w:color w:val="0000FF"/>
      <w:u w:val="single"/>
    </w:rPr>
  </w:style>
  <w:style w:type="paragraph" w:styleId="Buborkszveg">
    <w:name w:val="Balloon Text"/>
    <w:basedOn w:val="Norml"/>
    <w:link w:val="BuborkszvegChar"/>
    <w:semiHidden/>
    <w:rsid w:val="008D00D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8D00DA"/>
    <w:rPr>
      <w:rFonts w:ascii="Tahoma" w:eastAsia="Times New Roman" w:hAnsi="Tahoma" w:cs="Tahoma"/>
      <w:sz w:val="16"/>
      <w:szCs w:val="16"/>
      <w:lang w:eastAsia="hu-HU"/>
    </w:rPr>
  </w:style>
  <w:style w:type="paragraph" w:styleId="Szvegtrzs">
    <w:name w:val="Body Text"/>
    <w:basedOn w:val="Norml"/>
    <w:link w:val="SzvegtrzsChar"/>
    <w:semiHidden/>
    <w:rsid w:val="008D00DA"/>
    <w:pPr>
      <w:jc w:val="both"/>
    </w:pPr>
  </w:style>
  <w:style w:type="character" w:customStyle="1" w:styleId="SzvegtrzsChar">
    <w:name w:val="Szövegtörzs Char"/>
    <w:basedOn w:val="Bekezdsalapbettpusa"/>
    <w:link w:val="Szvegtrzs"/>
    <w:semiHidden/>
    <w:rsid w:val="008D00D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semiHidden/>
    <w:unhideWhenUsed/>
    <w:rsid w:val="008D00D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semiHidden/>
    <w:rsid w:val="008D00D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lb">
    <w:name w:val="footer"/>
    <w:basedOn w:val="Norml"/>
    <w:link w:val="llbChar"/>
    <w:semiHidden/>
    <w:unhideWhenUsed/>
    <w:rsid w:val="008D00D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semiHidden/>
    <w:rsid w:val="008D00D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szerbekezds">
    <w:name w:val="List Paragraph"/>
    <w:basedOn w:val="Norml"/>
    <w:qFormat/>
    <w:rsid w:val="008D00DA"/>
    <w:pPr>
      <w:ind w:left="708"/>
    </w:pPr>
  </w:style>
  <w:style w:type="character" w:customStyle="1" w:styleId="apple-converted-space">
    <w:name w:val="apple-converted-space"/>
    <w:basedOn w:val="Bekezdsalapbettpusa"/>
    <w:rsid w:val="008D00DA"/>
  </w:style>
  <w:style w:type="character" w:styleId="Kiemels">
    <w:name w:val="Emphasis"/>
    <w:qFormat/>
    <w:rsid w:val="008D00DA"/>
    <w:rPr>
      <w:i/>
      <w:iCs/>
    </w:rPr>
  </w:style>
  <w:style w:type="paragraph" w:styleId="NormlWeb">
    <w:name w:val="Normal (Web)"/>
    <w:basedOn w:val="Norml"/>
    <w:semiHidden/>
    <w:rsid w:val="008D00DA"/>
    <w:pPr>
      <w:spacing w:before="100" w:beforeAutospacing="1" w:after="119"/>
    </w:pPr>
  </w:style>
  <w:style w:type="paragraph" w:customStyle="1" w:styleId="m8446492817344192103m551958002364862942gmail-m458636710895151759msolistparagraph">
    <w:name w:val="m_8446492817344192103m_551958002364862942gmail-m_458636710895151759msolistparagraph"/>
    <w:basedOn w:val="Norml"/>
    <w:rsid w:val="008D00DA"/>
    <w:pPr>
      <w:spacing w:before="100" w:beforeAutospacing="1" w:after="100" w:afterAutospacing="1"/>
    </w:pPr>
  </w:style>
  <w:style w:type="paragraph" w:customStyle="1" w:styleId="m8446492817344192103m551958002364862942gmail-m458636710895151759msolistparagraph0">
    <w:name w:val="m_8446492817344192103m_551958002364862942gmail-m458636710895151759msolistparagraph"/>
    <w:basedOn w:val="Norml"/>
    <w:rsid w:val="008D00DA"/>
    <w:pPr>
      <w:spacing w:before="100" w:beforeAutospacing="1" w:after="100" w:afterAutospacing="1"/>
    </w:pPr>
  </w:style>
  <w:style w:type="character" w:customStyle="1" w:styleId="m8446492817344192103m551958002364862942gmail-apple-converted-space">
    <w:name w:val="m_8446492817344192103m_551958002364862942gmail-apple-converted-space"/>
    <w:basedOn w:val="Bekezdsalapbettpusa"/>
    <w:rsid w:val="008D00DA"/>
  </w:style>
  <w:style w:type="paragraph" w:customStyle="1" w:styleId="cf0">
    <w:name w:val="cf0"/>
    <w:basedOn w:val="Norml"/>
    <w:rsid w:val="008D00DA"/>
    <w:pPr>
      <w:spacing w:before="100" w:beforeAutospacing="1" w:after="100" w:afterAutospacing="1"/>
    </w:pPr>
  </w:style>
  <w:style w:type="paragraph" w:customStyle="1" w:styleId="lead">
    <w:name w:val="lead"/>
    <w:basedOn w:val="Norml"/>
    <w:rsid w:val="008D00DA"/>
    <w:pPr>
      <w:spacing w:before="100" w:beforeAutospacing="1" w:after="100" w:afterAutospacing="1"/>
    </w:pPr>
  </w:style>
  <w:style w:type="paragraph" w:customStyle="1" w:styleId="Tblzattartalom">
    <w:name w:val="Táblázattartalom"/>
    <w:basedOn w:val="Norml"/>
    <w:rsid w:val="008D00DA"/>
    <w:pPr>
      <w:widowControl w:val="0"/>
      <w:suppressLineNumbers/>
      <w:suppressAutoHyphens/>
    </w:pPr>
    <w:rPr>
      <w:rFonts w:eastAsia="Lucida Sans Unicode" w:cs="Mangal"/>
      <w:kern w:val="1"/>
      <w:lang w:eastAsia="hi-IN" w:bidi="hi-IN"/>
    </w:rPr>
  </w:style>
  <w:style w:type="paragraph" w:customStyle="1" w:styleId="WW-NormlWeb">
    <w:name w:val="WW-Normál (Web)"/>
    <w:basedOn w:val="Norml"/>
    <w:rsid w:val="008D00DA"/>
    <w:pPr>
      <w:suppressAutoHyphens/>
      <w:spacing w:before="280" w:after="280"/>
      <w:jc w:val="both"/>
    </w:pPr>
    <w:rPr>
      <w:bCs/>
      <w:iCs/>
      <w:color w:val="000000"/>
      <w:lang w:eastAsia="ar-SA"/>
    </w:rPr>
  </w:style>
  <w:style w:type="paragraph" w:styleId="Lbjegyzetszveg">
    <w:name w:val="footnote text"/>
    <w:basedOn w:val="Norml"/>
    <w:link w:val="LbjegyzetszvegChar"/>
    <w:semiHidden/>
    <w:unhideWhenUsed/>
    <w:rsid w:val="008D00DA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D00DA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unhideWhenUsed/>
    <w:rsid w:val="008D00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szk.hu/szakmai-tevekenysegek/intezmenyi-ferohely-kivaltas/tars-projekt-efop-1-9-1/efop-2-2-5-%20palyazoi-regisztracio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1097</Words>
  <Characters>7571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3</cp:revision>
  <dcterms:created xsi:type="dcterms:W3CDTF">2018-12-14T12:43:00Z</dcterms:created>
  <dcterms:modified xsi:type="dcterms:W3CDTF">2018-12-14T13:10:00Z</dcterms:modified>
</cp:coreProperties>
</file>