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5C" w:rsidRPr="005B2B8C" w:rsidRDefault="00771A5C" w:rsidP="0077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 Város Önkormányzata Képviselő-testületének</w:t>
      </w:r>
    </w:p>
    <w:p w:rsidR="00771A5C" w:rsidRPr="005B2B8C" w:rsidRDefault="00771A5C" w:rsidP="00771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22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I.31</w:t>
      </w:r>
      <w:r w:rsidRPr="005B2B8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.) önkormányzati rendelete</w:t>
      </w:r>
    </w:p>
    <w:p w:rsidR="00771A5C" w:rsidRPr="005B2B8C" w:rsidRDefault="00771A5C" w:rsidP="00771A5C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Tiszavasvári Város Önkormányzata Képviselő-testülete </w:t>
      </w:r>
      <w:r w:rsidRPr="00E0616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egészségügyi alapellátási körzetek megállapításáról 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szóló 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7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.(XI.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30</w:t>
      </w:r>
      <w:r w:rsidRPr="005B2B8C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.) önkormányzati rendelet módosításáról</w:t>
      </w:r>
    </w:p>
    <w:p w:rsidR="00771A5C" w:rsidRDefault="00771A5C" w:rsidP="00771A5C"/>
    <w:p w:rsidR="00771A5C" w:rsidRPr="0000263B" w:rsidRDefault="00771A5C" w:rsidP="00771A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egészségügyi alapellátásról szóló 2015. évi CXXIII. Tv. 6. § (1) bekezdésében kapott felhatalmazás alapján,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Magyarország helyi önkormányzatairól szóló 2011. évi CLXXXIX tv.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13.§ (1) bekezdésének 4. pontjában 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meghatározott feladatkörében eljárva –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szervezeti és működési szabályzatáról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önkormányzati rendelet 4. melléklet 1.24. pontja által biztosított véleményezési jogkörében illetékes Pénzügyi és Ügyrendi Bizottság, az 5. melléklet 1.15. pontja által biztosított véleményezési jogkörében illetékes Szociális és Humán Bizottság,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alapellátásról szóló 2015. évi CXXIII. törvény 6.</w:t>
      </w:r>
      <w:proofErr w:type="gramEnd"/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bekezdésében biztosított véleményezési jogkörében eljáró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Országos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Tisztifőorvos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13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Szabolcs-Szatmár-Bereg Megyei Kormányhivatal Nyíregyházi </w:t>
      </w:r>
      <w:r w:rsidRPr="00580E4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Járási Hivatal Hatósági Főosztály Népegészségügyi Osztálya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263B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véleményének kikérésével</w:t>
      </w:r>
      <w:r w:rsidRPr="0000263B">
        <w:rPr>
          <w:rFonts w:ascii="Times New Roman" w:eastAsia="Times New Roman" w:hAnsi="Times New Roman" w:cs="Times New Roman"/>
          <w:sz w:val="24"/>
          <w:szCs w:val="20"/>
          <w:lang w:eastAsia="hu-HU"/>
        </w:rPr>
        <w:t>- a következőket rendeli el:</w:t>
      </w:r>
    </w:p>
    <w:p w:rsidR="00771A5C" w:rsidRPr="00AE32B6" w:rsidRDefault="00771A5C" w:rsidP="00771A5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771A5C" w:rsidRPr="00AE32B6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alapellátási körzetek megállapításáról szóló önkormányzati rendelet megalkotásáról: című 32/2017. (XI. 30.) önkormányzati rendelet bevezető része helyébe a következő rendelkezés lép:</w:t>
      </w:r>
    </w:p>
    <w:p w:rsidR="00771A5C" w:rsidRPr="00AE32B6" w:rsidRDefault="00771A5C" w:rsidP="00771A5C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„Az egészségügyi alapellátásról szóló 2015. évi CXXIII. Tv. 6. § (1) bekezdésében kapott felhatalmazás alapján, Magyarország helyi önkormányzatairól szóló 2011. évi CLXXXIX tv. 13. § (1) bekezdésének 4. pontjában meghatározott feladatkörében eljárva – Tiszavasvári Város Önkormányzata Képviselő-testülete szervezeti és működési szabályzatáról szóló 1/2019.(II.1.) önkormányzati rendelet 4. melléklet 1.24. pontja által biztosított véleményezési jogkörében illetékes Pénzügyi és Ügyrendi Bizottság, az 5. melléklet 1.15. pontja által biztosított véleményezési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jogkörében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illetékes Szociális és Humán Bizottság, valamint az egészségügyi alapellátásról szóló 2015. évi CXXIII. törvény 6. § (2) bekezdésében biztosított véleményezési jogkörében eljáró Állami Egészségügyi Ellátó Központ, az Országos </w:t>
      </w:r>
      <w:proofErr w:type="spell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Tisztifőorvos</w:t>
      </w:r>
      <w:proofErr w:type="spell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 a Szabolcs-Szatmár-Bereg Megyei Kormányhivatal Nyíregyházi Járási Hivatal Hatósági Főosztály Népegészségügyi Osztálya véleményének kikérésével- a következőket rendeli el:”</w:t>
      </w:r>
    </w:p>
    <w:p w:rsidR="00771A5C" w:rsidRPr="00AE32B6" w:rsidRDefault="00771A5C" w:rsidP="00771A5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771A5C" w:rsidRPr="00AE32B6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alapellátási körzetek megállapításáról szóló önkormányzati rendelet megalkotásáról: című 32/2017. (XI. 30.) önkormányzati rendelet 4. melléklete az 1. melléklet szerint módosul.</w:t>
      </w:r>
    </w:p>
    <w:p w:rsidR="00771A5C" w:rsidRPr="00AE32B6" w:rsidRDefault="00771A5C" w:rsidP="00771A5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771A5C" w:rsidRPr="00AE32B6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az egészségügyi alapellátási körzetek megállapításáról szóló önkormányzati rendelet megalkotásáról: című 32/2017. (XI. 30.) önkormányzati rendelet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III. részében foglalt táblázat 8.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III. részében foglalt táblázat 11.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III. részében foglalt táblázat 16.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d)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III. részében foglalt táblázat 23.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lastRenderedPageBreak/>
        <w:t>e</w:t>
      </w:r>
      <w:proofErr w:type="gramEnd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IV. részében foglalt táblázat 11.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f</w:t>
      </w:r>
      <w:proofErr w:type="gramEnd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IV. részében foglalt táblázat 15.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g</w:t>
      </w:r>
      <w:proofErr w:type="gramEnd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IV. részében foglalt táblázat 22.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sora,</w:t>
      </w:r>
    </w:p>
    <w:p w:rsidR="00771A5C" w:rsidRPr="00AE32B6" w:rsidRDefault="00771A5C" w:rsidP="00771A5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h</w:t>
      </w:r>
      <w:proofErr w:type="gramEnd"/>
      <w:r w:rsidRPr="00AE32B6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4. melléklet IV. részében foglalt táblázat 27. </w:t>
      </w:r>
      <w:proofErr w:type="gramStart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proofErr w:type="gramEnd"/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sora.</w:t>
      </w:r>
    </w:p>
    <w:p w:rsidR="00771A5C" w:rsidRPr="00AE32B6" w:rsidRDefault="00771A5C" w:rsidP="00771A5C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771A5C" w:rsidRDefault="00771A5C" w:rsidP="00771A5C">
      <w:pP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február 1-jén lép hatályba.</w:t>
      </w:r>
    </w:p>
    <w:p w:rsidR="00771A5C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F4277" w:rsidRDefault="007F4277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71A5C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71A5C" w:rsidRPr="00AE32B6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Szőke </w:t>
      </w:r>
      <w:proofErr w:type="gram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Zoltán                                        Dr.</w:t>
      </w:r>
      <w:proofErr w:type="gram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771A5C" w:rsidRPr="00AE32B6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</w:t>
      </w:r>
      <w:proofErr w:type="gram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jegyző</w:t>
      </w:r>
    </w:p>
    <w:p w:rsidR="00771A5C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F4277" w:rsidRDefault="007F4277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F4277" w:rsidRPr="00AE32B6" w:rsidRDefault="007F4277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71A5C" w:rsidRPr="00AE32B6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71A5C" w:rsidRPr="00AE32B6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rendelet kihirdetve: 2022.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január 31.</w:t>
      </w:r>
    </w:p>
    <w:p w:rsidR="00771A5C" w:rsidRPr="00AE32B6" w:rsidRDefault="00771A5C" w:rsidP="00771A5C">
      <w:pPr>
        <w:tabs>
          <w:tab w:val="left" w:pos="567"/>
          <w:tab w:val="left" w:pos="5954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71A5C" w:rsidRPr="00AE32B6" w:rsidRDefault="00771A5C" w:rsidP="00771A5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Dr. </w:t>
      </w:r>
      <w:proofErr w:type="spellStart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Kórik</w:t>
      </w:r>
      <w:proofErr w:type="spellEnd"/>
      <w:r w:rsidRPr="00AE32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Zsuzsanna</w:t>
      </w:r>
    </w:p>
    <w:p w:rsidR="00771A5C" w:rsidRPr="00AE32B6" w:rsidRDefault="00771A5C" w:rsidP="00771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E32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               </w:t>
      </w:r>
      <w:proofErr w:type="gramStart"/>
      <w:r w:rsidRPr="00AE32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proofErr w:type="gramEnd"/>
    </w:p>
    <w:p w:rsidR="00771A5C" w:rsidRPr="006A01B1" w:rsidRDefault="00771A5C" w:rsidP="00771A5C">
      <w:pPr>
        <w:pStyle w:val="Szvegtrzs"/>
        <w:spacing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AE32B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  <w:r w:rsidRPr="006A01B1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1. melléklet</w:t>
      </w:r>
    </w:p>
    <w:p w:rsidR="00771A5C" w:rsidRPr="006A01B1" w:rsidRDefault="00771A5C" w:rsidP="00771A5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1. Az egészségügyi alapellátási körzetek megállapításáról szóló önkormányzati rendelet megalkotásáról: című 32/2017. (XI. 30.) önkormányzati rendelet 4. melléklet </w:t>
      </w:r>
      <w:bookmarkStart w:id="0" w:name="_GoBack"/>
      <w:bookmarkEnd w:id="0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V. részében foglalt táblázat a következő 52–55. sorral egészül ki: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8579"/>
      </w:tblGrid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52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Mihálytelep</w:t>
            </w:r>
            <w:proofErr w:type="spellEnd"/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 xml:space="preserve"> 1-8.</w:t>
            </w:r>
          </w:p>
        </w:tc>
      </w:tr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53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Csillag u. 1-24.</w:t>
            </w:r>
          </w:p>
        </w:tc>
      </w:tr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54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Korondi u. 1-50.</w:t>
            </w:r>
          </w:p>
        </w:tc>
      </w:tr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55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Eötvös u. 1-16.</w:t>
            </w:r>
          </w:p>
        </w:tc>
      </w:tr>
    </w:tbl>
    <w:p w:rsidR="00771A5C" w:rsidRPr="006A01B1" w:rsidRDefault="00771A5C" w:rsidP="00771A5C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771A5C" w:rsidRPr="006A01B1" w:rsidRDefault="00771A5C" w:rsidP="00771A5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Az egészségügyi alapellátási körzetek megállapításáról szóló önkormányzati rendelet megalkotásáról: című 32/2017. (XI. 30.) önkormányzati rendelet 4. melléklet VI. részében foglalt táblázat 34. sora helyébe a következő rendelkezés lép:</w:t>
      </w:r>
    </w:p>
    <w:p w:rsidR="00771A5C" w:rsidRPr="006A01B1" w:rsidRDefault="00771A5C" w:rsidP="00771A5C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8579"/>
      </w:tblGrid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34.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Szorgalmatosi Deák Ferenc Református Általános Iskola 4441 Szorgalmatos Közép út 11.</w:t>
            </w:r>
          </w:p>
        </w:tc>
      </w:tr>
    </w:tbl>
    <w:p w:rsidR="00771A5C" w:rsidRPr="006A01B1" w:rsidRDefault="00771A5C" w:rsidP="00771A5C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771A5C" w:rsidRPr="006A01B1" w:rsidRDefault="00771A5C" w:rsidP="00771A5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3. Az egészségügyi alapellátási körzetek megállapításáról szóló önkormányzati rendelet megalkotásáról: című 32/2017. (XI. 30.) önkormányzati rendelet 4. melléklet VII. részében foglalt táblázat a következő 3–6. sorral egészül ki:</w:t>
      </w:r>
    </w:p>
    <w:p w:rsidR="00771A5C" w:rsidRPr="006A01B1" w:rsidRDefault="00771A5C" w:rsidP="00771A5C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8579"/>
      </w:tblGrid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Kossuth u. 26-79.</w:t>
            </w:r>
          </w:p>
        </w:tc>
      </w:tr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Erkel u. 1-4.</w:t>
            </w:r>
          </w:p>
        </w:tc>
      </w:tr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Ifjúság u. 1-13.</w:t>
            </w:r>
          </w:p>
        </w:tc>
      </w:tr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proofErr w:type="spellStart"/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>Szabolcsvezér</w:t>
            </w:r>
            <w:proofErr w:type="spellEnd"/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 xml:space="preserve"> u. 1-26.</w:t>
            </w:r>
          </w:p>
        </w:tc>
      </w:tr>
    </w:tbl>
    <w:p w:rsidR="00771A5C" w:rsidRPr="006A01B1" w:rsidRDefault="00771A5C" w:rsidP="00771A5C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771A5C" w:rsidRPr="006A01B1" w:rsidRDefault="00771A5C" w:rsidP="00771A5C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 Az egészségügyi alapellátási körzetek megállapításáról szóló önkormányzati rendelet megalkotásáról: című 32/2017. (XI. 30.) önkormányzati rendelet 4. melléklet IX. részében foglalt táblázat 2. sora helyébe a következő rendelkezés lép:</w:t>
      </w:r>
    </w:p>
    <w:p w:rsidR="00771A5C" w:rsidRPr="006A01B1" w:rsidRDefault="00771A5C" w:rsidP="00771A5C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8579"/>
      </w:tblGrid>
      <w:tr w:rsidR="00771A5C" w:rsidRPr="006A01B1" w:rsidTr="00E826B7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8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A5C" w:rsidRPr="006A01B1" w:rsidRDefault="00771A5C" w:rsidP="00E826B7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</w:pP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 xml:space="preserve">Nyíregyházi Szakképzési Centrum Tiszavasvári </w:t>
            </w:r>
            <w:r w:rsidRPr="006A01B1">
              <w:rPr>
                <w:rFonts w:ascii="Times New Roman" w:eastAsia="Noto Sans CJK SC Regular" w:hAnsi="Times New Roman" w:cs="FreeSans"/>
                <w:kern w:val="2"/>
                <w:sz w:val="18"/>
                <w:szCs w:val="18"/>
                <w:lang w:eastAsia="zh-CN" w:bidi="hi-IN"/>
              </w:rPr>
              <w:t xml:space="preserve">Szakképző Iskola </w:t>
            </w:r>
            <w:r w:rsidRPr="006A01B1">
              <w:rPr>
                <w:rFonts w:ascii="Times New Roman" w:eastAsia="Noto Sans CJK SC Regular" w:hAnsi="Times New Roman" w:cs="FreeSans"/>
                <w:b/>
                <w:bCs/>
                <w:kern w:val="2"/>
                <w:sz w:val="18"/>
                <w:szCs w:val="18"/>
                <w:lang w:eastAsia="zh-CN" w:bidi="hi-IN"/>
              </w:rPr>
              <w:t>és Kollégium (4440 Tiszavasvári, Petőfi utca 1.)</w:t>
            </w:r>
          </w:p>
        </w:tc>
      </w:tr>
    </w:tbl>
    <w:p w:rsidR="00771A5C" w:rsidRDefault="00771A5C" w:rsidP="00771A5C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”</w:t>
      </w:r>
    </w:p>
    <w:p w:rsidR="00771A5C" w:rsidRPr="006A01B1" w:rsidRDefault="00771A5C" w:rsidP="00771A5C">
      <w:pPr>
        <w:suppressAutoHyphens/>
        <w:spacing w:after="0" w:line="240" w:lineRule="auto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771A5C" w:rsidRPr="006A01B1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771A5C" w:rsidRPr="006A01B1" w:rsidRDefault="00771A5C" w:rsidP="00771A5C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Általános indokolás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egészségügyi alapellátásról szóló 2015. évi CXXIII. Tv. 6. § (1) bekezdésében kapott felhatalmazás alapján, Magyarország helyi önkormányzatairól szóló 2011. évi CLXXXIX tv. 13.§ (1) bekezdésének 4. pontjában meghatározott feladatkörében eljárva 32/2017. (XI.30.) számú önkormányzati rendeletével megalkotta az egészségügyi alapellátási körzeteiről szóló rendeletét.</w:t>
      </w:r>
    </w:p>
    <w:p w:rsidR="00771A5C" w:rsidRPr="006A01B1" w:rsidRDefault="00771A5C" w:rsidP="00771A5C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:rsidR="00771A5C" w:rsidRPr="006A01B1" w:rsidRDefault="00771A5C" w:rsidP="00771A5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Szabolcs-Szatmár-Bereg Megyei Kormányhivatal Hatósági Főosztály Törvényességi Felügyeleti Osztálya szakmai konzultációt kezdeményezett Tiszavasvári Város Önkormányzata Képviselő-testületének 32/2017. (XI.30.) önkormányzati rendeletével kapcsolatban (továbbiakban: Rendelet). A konzultációban foglaltak szerint a Rendelet bevezető része olyan jogszabályi hivatkozást tartalmaz –az Alaptörvény 32. cikk (1) bekezdés a) pontja, amely a Rendelet megalkotására nem ad felhatalmazást. A rendelet megalkotására vonatkozó felhatalmazó rendelkezést az </w:t>
      </w: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Eatv</w:t>
      </w:r>
      <w:proofErr w:type="spellEnd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6.§ </w:t>
      </w: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-a</w:t>
      </w:r>
      <w:proofErr w:type="spellEnd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tartalmazza, a feladatkört pedig az Mötv.13.§ (1) bekezdés 4. pontja határozza meg. Emiatt szükséges a 32/2017. (XI.30.) önkormányzati rendelet bevezető részének módosítása. A bevezető rész ennek megfelelően módosításra került.</w:t>
      </w:r>
    </w:p>
    <w:p w:rsidR="00771A5C" w:rsidRPr="006A01B1" w:rsidRDefault="00771A5C" w:rsidP="00771A5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és a 3. §</w:t>
      </w:r>
      <w:proofErr w:type="spellStart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</w:t>
      </w: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Tiva-Szolg</w:t>
      </w:r>
      <w:proofErr w:type="spellEnd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Kft. ügyvezetője kezdeményezte az iskola-egészségügyi ellátás zavartalan működési feltételeinek biztosítása, valamint az egyenletes terheltség érdekében a Rendelet módosítását a védőnői körzetek megállapítására vonatkozó 4. számú melléklet tekintetében. Két körzet esetében az oktatási intézmény elnevezésében történő változás, valamint egyes körzetek vonatkozásában utcák átvezetése tekintetében módosulna a melléklet az alábbiak szerint: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III. körzetből törlésre kerülnek az alábbi sorok, melyek felvételre kerülnek a VII. sz. körzetbe: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8. sor: Erkel u. 1-4.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11. sor: Ifjúság u. 1-13.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16. sor: Kossuth u. 26-79.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23. sor: </w:t>
      </w: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Szabolcsvezér</w:t>
      </w:r>
      <w:proofErr w:type="spellEnd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u. 1-26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IV. sz. körzetből törlésre kerülnek az alábbi sorok, melyek felvételre kerülnek az V. sz. körzetbe: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11. sor: Csillag u. 1-24.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15. sor: Eötvös u. 1-16.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22 sor: Korondi u. 1-50.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27. sor: </w:t>
      </w: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Mihálytelep</w:t>
      </w:r>
      <w:proofErr w:type="spellEnd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1-8.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VI. sz. körzet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34. sor módosítása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Szorgalmatosi Deák Ferenc Református Általános Iskola 4441 Szorgalmatos, Közép utca 11.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(Az oktatási intézmény egyházi fenntartásba került.)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 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IX. sz. körzet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sor: Az oktatási intézmény elnevezésének módosítása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Nyíregyházi Szakképzési Centrum Tiszavasvári Szakképző Iskola és Kollégium</w:t>
      </w:r>
    </w:p>
    <w:p w:rsidR="00771A5C" w:rsidRPr="006A01B1" w:rsidRDefault="00771A5C" w:rsidP="00771A5C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6A01B1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:rsidR="00771A5C" w:rsidRPr="006A01B1" w:rsidRDefault="00771A5C" w:rsidP="00771A5C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spellStart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Hatálybaléptető</w:t>
      </w:r>
      <w:proofErr w:type="spellEnd"/>
      <w:r w:rsidRPr="006A01B1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rendelkezéseket tartalmaz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sectPr w:rsidR="00771A5C" w:rsidRPr="006A01B1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956">
      <w:pPr>
        <w:spacing w:after="0" w:line="240" w:lineRule="auto"/>
      </w:pPr>
      <w:r>
        <w:separator/>
      </w:r>
    </w:p>
  </w:endnote>
  <w:endnote w:type="continuationSeparator" w:id="0">
    <w:p w:rsidR="00000000" w:rsidRDefault="008E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63" w:rsidRDefault="00566BA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E595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63" w:rsidRDefault="00566BA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E5956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956">
      <w:pPr>
        <w:spacing w:after="0" w:line="240" w:lineRule="auto"/>
      </w:pPr>
      <w:r>
        <w:separator/>
      </w:r>
    </w:p>
  </w:footnote>
  <w:footnote w:type="continuationSeparator" w:id="0">
    <w:p w:rsidR="00000000" w:rsidRDefault="008E5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5C"/>
    <w:rsid w:val="00566BAA"/>
    <w:rsid w:val="00771A5C"/>
    <w:rsid w:val="007F4277"/>
    <w:rsid w:val="008E5956"/>
    <w:rsid w:val="00A5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1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771A5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71A5C"/>
  </w:style>
  <w:style w:type="paragraph" w:styleId="llb">
    <w:name w:val="footer"/>
    <w:basedOn w:val="Norml"/>
    <w:link w:val="llbChar"/>
    <w:uiPriority w:val="99"/>
    <w:semiHidden/>
    <w:unhideWhenUsed/>
    <w:rsid w:val="0077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1A5C"/>
  </w:style>
  <w:style w:type="paragraph" w:styleId="Buborkszveg">
    <w:name w:val="Balloon Text"/>
    <w:basedOn w:val="Norml"/>
    <w:link w:val="BuborkszvegChar"/>
    <w:uiPriority w:val="99"/>
    <w:semiHidden/>
    <w:unhideWhenUsed/>
    <w:rsid w:val="007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1A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771A5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71A5C"/>
  </w:style>
  <w:style w:type="paragraph" w:styleId="llb">
    <w:name w:val="footer"/>
    <w:basedOn w:val="Norml"/>
    <w:link w:val="llbChar"/>
    <w:uiPriority w:val="99"/>
    <w:semiHidden/>
    <w:unhideWhenUsed/>
    <w:rsid w:val="0077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1A5C"/>
  </w:style>
  <w:style w:type="paragraph" w:styleId="Buborkszveg">
    <w:name w:val="Balloon Text"/>
    <w:basedOn w:val="Norml"/>
    <w:link w:val="BuborkszvegChar"/>
    <w:uiPriority w:val="99"/>
    <w:semiHidden/>
    <w:unhideWhenUsed/>
    <w:rsid w:val="007F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cp:lastPrinted>2022-01-27T14:23:00Z</cp:lastPrinted>
  <dcterms:created xsi:type="dcterms:W3CDTF">2022-01-27T14:21:00Z</dcterms:created>
  <dcterms:modified xsi:type="dcterms:W3CDTF">2022-02-02T14:00:00Z</dcterms:modified>
</cp:coreProperties>
</file>